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2A54" w14:textId="77777777" w:rsidR="008A6F2D" w:rsidRDefault="008A6F2D">
      <w:pPr>
        <w:spacing w:after="80"/>
      </w:pPr>
    </w:p>
    <w:p w14:paraId="2A98B727" w14:textId="77777777" w:rsidR="008A6F2D" w:rsidRDefault="00000000">
      <w:pPr>
        <w:spacing w:after="60"/>
        <w:jc w:val="center"/>
      </w:pPr>
      <w:r>
        <w:rPr>
          <w:rFonts w:eastAsia="Times New Roman"/>
          <w:b/>
          <w:bCs/>
          <w:sz w:val="32"/>
          <w:szCs w:val="32"/>
        </w:rPr>
        <w:t>Theory and Reflection</w:t>
      </w:r>
    </w:p>
    <w:p w14:paraId="3FB71674" w14:textId="77777777" w:rsidR="008A6F2D" w:rsidRDefault="00000000">
      <w:pPr>
        <w:spacing w:after="70"/>
        <w:jc w:val="center"/>
      </w:pPr>
      <w:r>
        <w:rPr>
          <w:rFonts w:eastAsia="Times New Roman"/>
          <w:sz w:val="21"/>
          <w:szCs w:val="21"/>
        </w:rPr>
        <w:t>DTS304TC Coursework 1    Student ID: 1234560</w:t>
      </w:r>
    </w:p>
    <w:p w14:paraId="6DE53E53" w14:textId="77777777" w:rsidR="008A6F2D" w:rsidRDefault="008A6F2D">
      <w:pPr>
        <w:pBdr>
          <w:bottom w:val="single" w:sz="3" w:space="0" w:color="777777"/>
        </w:pBdr>
        <w:spacing w:after="110"/>
        <w:jc w:val="center"/>
      </w:pPr>
    </w:p>
    <w:p w14:paraId="0E94DC5C" w14:textId="77777777" w:rsidR="008A6F2D" w:rsidRDefault="00000000">
      <w:pPr>
        <w:pStyle w:val="1"/>
      </w:pPr>
      <w:r>
        <w:rPr>
          <w:sz w:val="30"/>
          <w:szCs w:val="30"/>
        </w:rPr>
        <w:t>Bagging vs Boosting</w:t>
      </w:r>
    </w:p>
    <w:p w14:paraId="7FD65F9A" w14:textId="77777777" w:rsidR="008A6F2D" w:rsidRDefault="00000000">
      <w:r>
        <w:rPr>
          <w:rFonts w:eastAsia="Times New Roman"/>
        </w:rPr>
        <w:t>Bagging (Bootstrap Aggregating) trains B independent decision-tree base learners on bootstrapped samples drawn uniformly from the original dataset, then aggregates their predictions by majority vote for classification or averaging for regression. By making each tree learn on a different random subset of the data, bagging reduces variance through decorrelation: even if individual trees overfit, their errors partially cancel out when combined. Boosting, by contrast, trains base learners sequentially: each new learner is fitted to the residuals or misclassified instances from the current ensemble, with the effect that the ensemble reduces bias more aggressively. The key conceptual difference is that bagging treats all base learners as equally informative, while boosting adaptively reweights observations based on past mistakes.</w:t>
      </w:r>
    </w:p>
    <w:p w14:paraId="5E1EA143" w14:textId="77777777" w:rsidR="008A6F2D" w:rsidRDefault="00000000">
      <w:r>
        <w:rPr>
          <w:rFonts w:eastAsia="Times New Roman"/>
        </w:rPr>
        <w:t xml:space="preserve">My notebook implemented a controlled comparison of Random Forest (representing bagging) and </w:t>
      </w:r>
      <w:proofErr w:type="spellStart"/>
      <w:r>
        <w:rPr>
          <w:rFonts w:eastAsia="Times New Roman"/>
        </w:rPr>
        <w:t>XGBoost</w:t>
      </w:r>
      <w:proofErr w:type="spellEnd"/>
      <w:r>
        <w:rPr>
          <w:rFonts w:eastAsia="Times New Roman"/>
        </w:rPr>
        <w:t xml:space="preserve"> (representing boosting) under identical preprocessing and identical train/validation split. This design is crucial: any difference in results must then reflect the learning algorithm itself, not differences in data preparation or evaluation.</w:t>
      </w:r>
    </w:p>
    <w:p w14:paraId="581D6D2B" w14:textId="77777777" w:rsidR="008A6F2D" w:rsidRDefault="00000000">
      <w:r>
        <w:rPr>
          <w:rFonts w:eastAsia="Times New Roman"/>
        </w:rPr>
        <w:t xml:space="preserve">Table 1 </w:t>
      </w:r>
      <w:proofErr w:type="spellStart"/>
      <w:r>
        <w:rPr>
          <w:rFonts w:eastAsia="Times New Roman"/>
        </w:rPr>
        <w:t>summarises</w:t>
      </w:r>
      <w:proofErr w:type="spellEnd"/>
      <w:r>
        <w:rPr>
          <w:rFonts w:eastAsia="Times New Roman"/>
        </w:rPr>
        <w:t xml:space="preserve"> the key results drawn from outputs/tables/personalised_improvement_summary.csv. It shows model name, validation macro-F1, validation accuracy, the </w:t>
      </w:r>
      <w:proofErr w:type="spellStart"/>
      <w:r>
        <w:rPr>
          <w:rFonts w:eastAsia="Times New Roman"/>
        </w:rPr>
        <w:t>generalisation</w:t>
      </w:r>
      <w:proofErr w:type="spellEnd"/>
      <w:r>
        <w:rPr>
          <w:rFonts w:eastAsia="Times New Roman"/>
        </w:rPr>
        <w:t xml:space="preserve"> gap (train F1 minus </w:t>
      </w:r>
      <w:proofErr w:type="spellStart"/>
      <w:r>
        <w:rPr>
          <w:rFonts w:eastAsia="Times New Roman"/>
        </w:rPr>
        <w:t>val</w:t>
      </w:r>
      <w:proofErr w:type="spellEnd"/>
      <w:r>
        <w:rPr>
          <w:rFonts w:eastAsia="Times New Roman"/>
        </w:rPr>
        <w:t xml:space="preserve"> F1), per-class F1 scores, and training time. Four rows are shown: Baseline LR, Random Forest, untuned </w:t>
      </w:r>
      <w:proofErr w:type="spellStart"/>
      <w:r>
        <w:rPr>
          <w:rFonts w:eastAsia="Times New Roman"/>
        </w:rPr>
        <w:t>XGBoost</w:t>
      </w:r>
      <w:proofErr w:type="spellEnd"/>
      <w:r>
        <w:rPr>
          <w:rFonts w:eastAsia="Times New Roman"/>
        </w:rPr>
        <w:t xml:space="preserve">, and </w:t>
      </w:r>
      <w:proofErr w:type="spellStart"/>
      <w:r>
        <w:rPr>
          <w:rFonts w:eastAsia="Times New Roman"/>
        </w:rPr>
        <w:t>Optuna</w:t>
      </w:r>
      <w:proofErr w:type="spellEnd"/>
      <w:r>
        <w:rPr>
          <w:rFonts w:eastAsia="Times New Roman"/>
        </w:rPr>
        <w:t xml:space="preserve">-tuned </w:t>
      </w:r>
      <w:proofErr w:type="spellStart"/>
      <w:r>
        <w:rPr>
          <w:rFonts w:eastAsia="Times New Roman"/>
        </w:rPr>
        <w:t>XGBoost</w:t>
      </w:r>
      <w:proofErr w:type="spellEnd"/>
      <w:r>
        <w:rPr>
          <w:rFonts w:eastAsia="Times New Roman"/>
        </w:rPr>
        <w:t>.</w:t>
      </w:r>
    </w:p>
    <w:p w14:paraId="7BF1DEB0" w14:textId="77777777" w:rsidR="008A6F2D" w:rsidRDefault="00000000">
      <w:pPr>
        <w:spacing w:before="50" w:after="70"/>
        <w:jc w:val="center"/>
      </w:pPr>
      <w:r>
        <w:rPr>
          <w:rFonts w:eastAsia="Times New Roman"/>
          <w:sz w:val="20"/>
          <w:szCs w:val="20"/>
        </w:rPr>
        <w:t>Table 1: Controlled supervised model comparison (identical pipeline and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66"/>
        <w:gridCol w:w="1148"/>
        <w:gridCol w:w="1147"/>
        <w:gridCol w:w="1032"/>
        <w:gridCol w:w="1147"/>
        <w:gridCol w:w="1147"/>
        <w:gridCol w:w="1147"/>
        <w:gridCol w:w="1032"/>
      </w:tblGrid>
      <w:tr w:rsidR="008A6F2D" w14:paraId="4AFEBF17" w14:textId="77777777">
        <w:tblPrEx>
          <w:tblCellMar>
            <w:top w:w="0" w:type="dxa"/>
            <w:bottom w:w="0" w:type="dxa"/>
          </w:tblCellMar>
        </w:tblPrEx>
        <w:trPr>
          <w:cantSplit/>
        </w:trPr>
        <w:tc>
          <w:tcPr>
            <w:tcW w:w="1800" w:type="dxa"/>
            <w:tcBorders>
              <w:top w:val="single" w:sz="4" w:space="0" w:color="000000"/>
              <w:left w:val="nil"/>
              <w:bottom w:val="single" w:sz="4" w:space="0" w:color="000000"/>
              <w:right w:val="nil"/>
            </w:tcBorders>
            <w:tcMar>
              <w:top w:w="35" w:type="dxa"/>
              <w:left w:w="50" w:type="dxa"/>
              <w:bottom w:w="35" w:type="dxa"/>
              <w:right w:w="50" w:type="dxa"/>
            </w:tcMar>
          </w:tcPr>
          <w:p w14:paraId="08F8FE80" w14:textId="77777777" w:rsidR="008A6F2D" w:rsidRDefault="00000000">
            <w:pPr>
              <w:spacing w:after="0" w:line="220" w:lineRule="auto"/>
              <w:jc w:val="center"/>
            </w:pPr>
            <w:r>
              <w:rPr>
                <w:rFonts w:eastAsia="Times New Roman"/>
                <w:b/>
                <w:bCs/>
                <w:sz w:val="19"/>
                <w:szCs w:val="19"/>
              </w:rPr>
              <w:t>Model</w:t>
            </w:r>
          </w:p>
        </w:tc>
        <w:tc>
          <w:tcPr>
            <w:tcW w:w="1000" w:type="dxa"/>
            <w:tcBorders>
              <w:top w:val="single" w:sz="4" w:space="0" w:color="000000"/>
              <w:left w:val="nil"/>
              <w:bottom w:val="single" w:sz="4" w:space="0" w:color="000000"/>
              <w:right w:val="nil"/>
            </w:tcBorders>
            <w:tcMar>
              <w:top w:w="35" w:type="dxa"/>
              <w:left w:w="50" w:type="dxa"/>
              <w:bottom w:w="35" w:type="dxa"/>
              <w:right w:w="50" w:type="dxa"/>
            </w:tcMar>
          </w:tcPr>
          <w:p w14:paraId="53483204" w14:textId="77777777" w:rsidR="008A6F2D" w:rsidRDefault="00000000">
            <w:pPr>
              <w:spacing w:after="0" w:line="220" w:lineRule="auto"/>
              <w:jc w:val="center"/>
            </w:pPr>
            <w:r>
              <w:rPr>
                <w:rFonts w:eastAsia="Times New Roman"/>
                <w:b/>
                <w:bCs/>
                <w:sz w:val="19"/>
                <w:szCs w:val="19"/>
              </w:rPr>
              <w:t>Val F1</w:t>
            </w:r>
          </w:p>
        </w:tc>
        <w:tc>
          <w:tcPr>
            <w:tcW w:w="1000" w:type="dxa"/>
            <w:tcBorders>
              <w:top w:val="single" w:sz="4" w:space="0" w:color="000000"/>
              <w:left w:val="nil"/>
              <w:bottom w:val="single" w:sz="4" w:space="0" w:color="000000"/>
              <w:right w:val="nil"/>
            </w:tcBorders>
            <w:tcMar>
              <w:top w:w="35" w:type="dxa"/>
              <w:left w:w="50" w:type="dxa"/>
              <w:bottom w:w="35" w:type="dxa"/>
              <w:right w:w="50" w:type="dxa"/>
            </w:tcMar>
          </w:tcPr>
          <w:p w14:paraId="13B3A22A" w14:textId="77777777" w:rsidR="008A6F2D" w:rsidRDefault="00000000">
            <w:pPr>
              <w:spacing w:after="0" w:line="220" w:lineRule="auto"/>
              <w:jc w:val="center"/>
            </w:pPr>
            <w:r>
              <w:rPr>
                <w:rFonts w:eastAsia="Times New Roman"/>
                <w:b/>
                <w:bCs/>
                <w:sz w:val="19"/>
                <w:szCs w:val="19"/>
              </w:rPr>
              <w:t>Val Acc</w:t>
            </w:r>
          </w:p>
        </w:tc>
        <w:tc>
          <w:tcPr>
            <w:tcW w:w="900" w:type="dxa"/>
            <w:tcBorders>
              <w:top w:val="single" w:sz="4" w:space="0" w:color="000000"/>
              <w:left w:val="nil"/>
              <w:bottom w:val="single" w:sz="4" w:space="0" w:color="000000"/>
              <w:right w:val="nil"/>
            </w:tcBorders>
            <w:tcMar>
              <w:top w:w="35" w:type="dxa"/>
              <w:left w:w="50" w:type="dxa"/>
              <w:bottom w:w="35" w:type="dxa"/>
              <w:right w:w="50" w:type="dxa"/>
            </w:tcMar>
          </w:tcPr>
          <w:p w14:paraId="6D60EF82" w14:textId="77777777" w:rsidR="008A6F2D" w:rsidRDefault="00000000">
            <w:pPr>
              <w:spacing w:after="0" w:line="220" w:lineRule="auto"/>
              <w:jc w:val="center"/>
            </w:pPr>
            <w:r>
              <w:rPr>
                <w:rFonts w:eastAsia="Times New Roman"/>
                <w:b/>
                <w:bCs/>
                <w:sz w:val="19"/>
                <w:szCs w:val="19"/>
              </w:rPr>
              <w:t>Gap</w:t>
            </w:r>
          </w:p>
        </w:tc>
        <w:tc>
          <w:tcPr>
            <w:tcW w:w="1000" w:type="dxa"/>
            <w:tcBorders>
              <w:top w:val="single" w:sz="4" w:space="0" w:color="000000"/>
              <w:left w:val="nil"/>
              <w:bottom w:val="single" w:sz="4" w:space="0" w:color="000000"/>
              <w:right w:val="nil"/>
            </w:tcBorders>
            <w:tcMar>
              <w:top w:w="35" w:type="dxa"/>
              <w:left w:w="50" w:type="dxa"/>
              <w:bottom w:w="35" w:type="dxa"/>
              <w:right w:w="50" w:type="dxa"/>
            </w:tcMar>
          </w:tcPr>
          <w:p w14:paraId="3AD14EA8" w14:textId="77777777" w:rsidR="008A6F2D" w:rsidRDefault="00000000">
            <w:pPr>
              <w:spacing w:after="0" w:line="220" w:lineRule="auto"/>
              <w:jc w:val="center"/>
            </w:pPr>
            <w:r>
              <w:rPr>
                <w:rFonts w:eastAsia="Times New Roman"/>
                <w:b/>
                <w:bCs/>
                <w:sz w:val="19"/>
                <w:szCs w:val="19"/>
              </w:rPr>
              <w:t>High F1</w:t>
            </w:r>
          </w:p>
        </w:tc>
        <w:tc>
          <w:tcPr>
            <w:tcW w:w="1000" w:type="dxa"/>
            <w:tcBorders>
              <w:top w:val="single" w:sz="4" w:space="0" w:color="000000"/>
              <w:left w:val="nil"/>
              <w:bottom w:val="single" w:sz="4" w:space="0" w:color="000000"/>
              <w:right w:val="nil"/>
            </w:tcBorders>
            <w:tcMar>
              <w:top w:w="35" w:type="dxa"/>
              <w:left w:w="50" w:type="dxa"/>
              <w:bottom w:w="35" w:type="dxa"/>
              <w:right w:w="50" w:type="dxa"/>
            </w:tcMar>
          </w:tcPr>
          <w:p w14:paraId="0AC34366" w14:textId="77777777" w:rsidR="008A6F2D" w:rsidRDefault="00000000">
            <w:pPr>
              <w:spacing w:after="0" w:line="220" w:lineRule="auto"/>
              <w:jc w:val="center"/>
            </w:pPr>
            <w:r>
              <w:rPr>
                <w:rFonts w:eastAsia="Times New Roman"/>
                <w:b/>
                <w:bCs/>
                <w:sz w:val="19"/>
                <w:szCs w:val="19"/>
              </w:rPr>
              <w:t>Low F1</w:t>
            </w:r>
          </w:p>
        </w:tc>
        <w:tc>
          <w:tcPr>
            <w:tcW w:w="1000" w:type="dxa"/>
            <w:tcBorders>
              <w:top w:val="single" w:sz="4" w:space="0" w:color="000000"/>
              <w:left w:val="nil"/>
              <w:bottom w:val="single" w:sz="4" w:space="0" w:color="000000"/>
              <w:right w:val="nil"/>
            </w:tcBorders>
            <w:tcMar>
              <w:top w:w="35" w:type="dxa"/>
              <w:left w:w="50" w:type="dxa"/>
              <w:bottom w:w="35" w:type="dxa"/>
              <w:right w:w="50" w:type="dxa"/>
            </w:tcMar>
          </w:tcPr>
          <w:p w14:paraId="7FFD54A7" w14:textId="77777777" w:rsidR="008A6F2D" w:rsidRDefault="00000000">
            <w:pPr>
              <w:spacing w:after="0" w:line="220" w:lineRule="auto"/>
              <w:jc w:val="center"/>
            </w:pPr>
            <w:r>
              <w:rPr>
                <w:rFonts w:eastAsia="Times New Roman"/>
                <w:b/>
                <w:bCs/>
                <w:sz w:val="19"/>
                <w:szCs w:val="19"/>
              </w:rPr>
              <w:t>Std F1</w:t>
            </w:r>
          </w:p>
        </w:tc>
        <w:tc>
          <w:tcPr>
            <w:tcW w:w="900" w:type="dxa"/>
            <w:tcBorders>
              <w:top w:val="single" w:sz="4" w:space="0" w:color="000000"/>
              <w:left w:val="nil"/>
              <w:bottom w:val="single" w:sz="4" w:space="0" w:color="000000"/>
              <w:right w:val="nil"/>
            </w:tcBorders>
            <w:tcMar>
              <w:top w:w="35" w:type="dxa"/>
              <w:left w:w="50" w:type="dxa"/>
              <w:bottom w:w="35" w:type="dxa"/>
              <w:right w:w="50" w:type="dxa"/>
            </w:tcMar>
          </w:tcPr>
          <w:p w14:paraId="34A57824" w14:textId="77777777" w:rsidR="008A6F2D" w:rsidRDefault="00000000">
            <w:pPr>
              <w:spacing w:after="0" w:line="220" w:lineRule="auto"/>
              <w:jc w:val="center"/>
            </w:pPr>
            <w:r>
              <w:rPr>
                <w:rFonts w:eastAsia="Times New Roman"/>
                <w:b/>
                <w:bCs/>
                <w:sz w:val="19"/>
                <w:szCs w:val="19"/>
              </w:rPr>
              <w:t>Time(s)</w:t>
            </w:r>
          </w:p>
        </w:tc>
      </w:tr>
      <w:tr w:rsidR="008A6F2D" w14:paraId="158BA21F" w14:textId="77777777">
        <w:tblPrEx>
          <w:tblCellMar>
            <w:top w:w="0" w:type="dxa"/>
            <w:bottom w:w="0" w:type="dxa"/>
          </w:tblCellMar>
        </w:tblPrEx>
        <w:trPr>
          <w:cantSplit/>
        </w:trPr>
        <w:tc>
          <w:tcPr>
            <w:tcW w:w="1800" w:type="dxa"/>
            <w:tcBorders>
              <w:top w:val="nil"/>
              <w:left w:val="nil"/>
              <w:bottom w:val="nil"/>
              <w:right w:val="nil"/>
            </w:tcBorders>
            <w:tcMar>
              <w:top w:w="35" w:type="dxa"/>
              <w:left w:w="50" w:type="dxa"/>
              <w:bottom w:w="35" w:type="dxa"/>
              <w:right w:w="50" w:type="dxa"/>
            </w:tcMar>
          </w:tcPr>
          <w:p w14:paraId="29F5B02C" w14:textId="77777777" w:rsidR="008A6F2D" w:rsidRDefault="00000000">
            <w:pPr>
              <w:spacing w:after="0" w:line="220" w:lineRule="auto"/>
              <w:jc w:val="left"/>
            </w:pPr>
            <w:r>
              <w:rPr>
                <w:rFonts w:eastAsia="Times New Roman"/>
                <w:sz w:val="18"/>
                <w:szCs w:val="18"/>
              </w:rPr>
              <w:t>Baseline LR</w:t>
            </w:r>
          </w:p>
        </w:tc>
        <w:tc>
          <w:tcPr>
            <w:tcW w:w="1000" w:type="dxa"/>
            <w:tcBorders>
              <w:top w:val="nil"/>
              <w:left w:val="nil"/>
              <w:bottom w:val="nil"/>
              <w:right w:val="nil"/>
            </w:tcBorders>
            <w:tcMar>
              <w:top w:w="35" w:type="dxa"/>
              <w:left w:w="50" w:type="dxa"/>
              <w:bottom w:w="35" w:type="dxa"/>
              <w:right w:w="50" w:type="dxa"/>
            </w:tcMar>
          </w:tcPr>
          <w:p w14:paraId="51744127" w14:textId="77777777" w:rsidR="008A6F2D" w:rsidRDefault="00000000">
            <w:pPr>
              <w:spacing w:after="0" w:line="220" w:lineRule="auto"/>
              <w:jc w:val="center"/>
            </w:pPr>
            <w:r>
              <w:rPr>
                <w:rFonts w:eastAsia="Times New Roman"/>
                <w:sz w:val="18"/>
                <w:szCs w:val="18"/>
              </w:rPr>
              <w:t>0.7238</w:t>
            </w:r>
          </w:p>
        </w:tc>
        <w:tc>
          <w:tcPr>
            <w:tcW w:w="1000" w:type="dxa"/>
            <w:tcBorders>
              <w:top w:val="nil"/>
              <w:left w:val="nil"/>
              <w:bottom w:val="nil"/>
              <w:right w:val="nil"/>
            </w:tcBorders>
            <w:tcMar>
              <w:top w:w="35" w:type="dxa"/>
              <w:left w:w="50" w:type="dxa"/>
              <w:bottom w:w="35" w:type="dxa"/>
              <w:right w:w="50" w:type="dxa"/>
            </w:tcMar>
          </w:tcPr>
          <w:p w14:paraId="73F465B5" w14:textId="77777777" w:rsidR="008A6F2D" w:rsidRDefault="00000000">
            <w:pPr>
              <w:spacing w:after="0" w:line="220" w:lineRule="auto"/>
              <w:jc w:val="center"/>
            </w:pPr>
            <w:r>
              <w:rPr>
                <w:rFonts w:eastAsia="Times New Roman"/>
                <w:sz w:val="18"/>
                <w:szCs w:val="18"/>
              </w:rPr>
              <w:t>0.7342</w:t>
            </w:r>
          </w:p>
        </w:tc>
        <w:tc>
          <w:tcPr>
            <w:tcW w:w="900" w:type="dxa"/>
            <w:tcBorders>
              <w:top w:val="nil"/>
              <w:left w:val="nil"/>
              <w:bottom w:val="nil"/>
              <w:right w:val="nil"/>
            </w:tcBorders>
            <w:tcMar>
              <w:top w:w="35" w:type="dxa"/>
              <w:left w:w="50" w:type="dxa"/>
              <w:bottom w:w="35" w:type="dxa"/>
              <w:right w:w="50" w:type="dxa"/>
            </w:tcMar>
          </w:tcPr>
          <w:p w14:paraId="01EECA37" w14:textId="77777777" w:rsidR="008A6F2D" w:rsidRDefault="00000000">
            <w:pPr>
              <w:spacing w:after="0" w:line="220" w:lineRule="auto"/>
              <w:jc w:val="center"/>
            </w:pPr>
            <w:r>
              <w:rPr>
                <w:rFonts w:eastAsia="Times New Roman"/>
                <w:sz w:val="18"/>
                <w:szCs w:val="18"/>
              </w:rPr>
              <w:t>0.0146</w:t>
            </w:r>
          </w:p>
        </w:tc>
        <w:tc>
          <w:tcPr>
            <w:tcW w:w="1000" w:type="dxa"/>
            <w:tcBorders>
              <w:top w:val="nil"/>
              <w:left w:val="nil"/>
              <w:bottom w:val="nil"/>
              <w:right w:val="nil"/>
            </w:tcBorders>
            <w:tcMar>
              <w:top w:w="35" w:type="dxa"/>
              <w:left w:w="50" w:type="dxa"/>
              <w:bottom w:w="35" w:type="dxa"/>
              <w:right w:w="50" w:type="dxa"/>
            </w:tcMar>
          </w:tcPr>
          <w:p w14:paraId="40D06464" w14:textId="77777777" w:rsidR="008A6F2D" w:rsidRDefault="00000000">
            <w:pPr>
              <w:spacing w:after="0" w:line="220" w:lineRule="auto"/>
              <w:jc w:val="center"/>
            </w:pPr>
            <w:r>
              <w:rPr>
                <w:rFonts w:eastAsia="Times New Roman"/>
                <w:sz w:val="18"/>
                <w:szCs w:val="18"/>
              </w:rPr>
              <w:t>0.7665</w:t>
            </w:r>
          </w:p>
        </w:tc>
        <w:tc>
          <w:tcPr>
            <w:tcW w:w="1000" w:type="dxa"/>
            <w:tcBorders>
              <w:top w:val="nil"/>
              <w:left w:val="nil"/>
              <w:bottom w:val="nil"/>
              <w:right w:val="nil"/>
            </w:tcBorders>
            <w:tcMar>
              <w:top w:w="35" w:type="dxa"/>
              <w:left w:w="50" w:type="dxa"/>
              <w:bottom w:w="35" w:type="dxa"/>
              <w:right w:w="50" w:type="dxa"/>
            </w:tcMar>
          </w:tcPr>
          <w:p w14:paraId="15A823F4" w14:textId="77777777" w:rsidR="008A6F2D" w:rsidRDefault="00000000">
            <w:pPr>
              <w:spacing w:after="0" w:line="220" w:lineRule="auto"/>
              <w:jc w:val="center"/>
            </w:pPr>
            <w:r>
              <w:rPr>
                <w:rFonts w:eastAsia="Times New Roman"/>
                <w:sz w:val="18"/>
                <w:szCs w:val="18"/>
              </w:rPr>
              <w:t>0.6490</w:t>
            </w:r>
          </w:p>
        </w:tc>
        <w:tc>
          <w:tcPr>
            <w:tcW w:w="1000" w:type="dxa"/>
            <w:tcBorders>
              <w:top w:val="nil"/>
              <w:left w:val="nil"/>
              <w:bottom w:val="nil"/>
              <w:right w:val="nil"/>
            </w:tcBorders>
            <w:tcMar>
              <w:top w:w="35" w:type="dxa"/>
              <w:left w:w="50" w:type="dxa"/>
              <w:bottom w:w="35" w:type="dxa"/>
              <w:right w:w="50" w:type="dxa"/>
            </w:tcMar>
          </w:tcPr>
          <w:p w14:paraId="6E780707" w14:textId="77777777" w:rsidR="008A6F2D" w:rsidRDefault="00000000">
            <w:pPr>
              <w:spacing w:after="0" w:line="220" w:lineRule="auto"/>
              <w:jc w:val="center"/>
            </w:pPr>
            <w:r>
              <w:rPr>
                <w:rFonts w:eastAsia="Times New Roman"/>
                <w:sz w:val="18"/>
                <w:szCs w:val="18"/>
              </w:rPr>
              <w:t>0.7558</w:t>
            </w:r>
          </w:p>
        </w:tc>
        <w:tc>
          <w:tcPr>
            <w:tcW w:w="900" w:type="dxa"/>
            <w:tcBorders>
              <w:top w:val="nil"/>
              <w:left w:val="nil"/>
              <w:bottom w:val="nil"/>
              <w:right w:val="nil"/>
            </w:tcBorders>
            <w:tcMar>
              <w:top w:w="35" w:type="dxa"/>
              <w:left w:w="50" w:type="dxa"/>
              <w:bottom w:w="35" w:type="dxa"/>
              <w:right w:w="50" w:type="dxa"/>
            </w:tcMar>
          </w:tcPr>
          <w:p w14:paraId="0DB28B03" w14:textId="77777777" w:rsidR="008A6F2D" w:rsidRDefault="00000000">
            <w:pPr>
              <w:spacing w:after="0" w:line="220" w:lineRule="auto"/>
              <w:jc w:val="center"/>
            </w:pPr>
            <w:r>
              <w:rPr>
                <w:rFonts w:eastAsia="Times New Roman"/>
                <w:sz w:val="18"/>
                <w:szCs w:val="18"/>
              </w:rPr>
              <w:t>–</w:t>
            </w:r>
          </w:p>
        </w:tc>
      </w:tr>
      <w:tr w:rsidR="008A6F2D" w14:paraId="3F18869C" w14:textId="77777777">
        <w:tblPrEx>
          <w:tblCellMar>
            <w:top w:w="0" w:type="dxa"/>
            <w:bottom w:w="0" w:type="dxa"/>
          </w:tblCellMar>
        </w:tblPrEx>
        <w:trPr>
          <w:cantSplit/>
        </w:trPr>
        <w:tc>
          <w:tcPr>
            <w:tcW w:w="1800" w:type="dxa"/>
            <w:tcBorders>
              <w:top w:val="nil"/>
              <w:left w:val="nil"/>
              <w:bottom w:val="nil"/>
              <w:right w:val="nil"/>
            </w:tcBorders>
            <w:tcMar>
              <w:top w:w="35" w:type="dxa"/>
              <w:left w:w="50" w:type="dxa"/>
              <w:bottom w:w="35" w:type="dxa"/>
              <w:right w:w="50" w:type="dxa"/>
            </w:tcMar>
          </w:tcPr>
          <w:p w14:paraId="28D7434C" w14:textId="77777777" w:rsidR="008A6F2D" w:rsidRDefault="00000000">
            <w:pPr>
              <w:spacing w:after="0" w:line="220" w:lineRule="auto"/>
              <w:jc w:val="left"/>
            </w:pPr>
            <w:r>
              <w:rPr>
                <w:rFonts w:eastAsia="Times New Roman"/>
                <w:sz w:val="18"/>
                <w:szCs w:val="18"/>
              </w:rPr>
              <w:t>Random Forest</w:t>
            </w:r>
          </w:p>
        </w:tc>
        <w:tc>
          <w:tcPr>
            <w:tcW w:w="1000" w:type="dxa"/>
            <w:tcBorders>
              <w:top w:val="nil"/>
              <w:left w:val="nil"/>
              <w:bottom w:val="nil"/>
              <w:right w:val="nil"/>
            </w:tcBorders>
            <w:tcMar>
              <w:top w:w="35" w:type="dxa"/>
              <w:left w:w="50" w:type="dxa"/>
              <w:bottom w:w="35" w:type="dxa"/>
              <w:right w:w="50" w:type="dxa"/>
            </w:tcMar>
          </w:tcPr>
          <w:p w14:paraId="653D91C0" w14:textId="77777777" w:rsidR="008A6F2D" w:rsidRDefault="00000000">
            <w:pPr>
              <w:spacing w:after="0" w:line="220" w:lineRule="auto"/>
              <w:jc w:val="center"/>
            </w:pPr>
            <w:r>
              <w:rPr>
                <w:rFonts w:eastAsia="Times New Roman"/>
                <w:sz w:val="18"/>
                <w:szCs w:val="18"/>
              </w:rPr>
              <w:t>0.7708</w:t>
            </w:r>
          </w:p>
        </w:tc>
        <w:tc>
          <w:tcPr>
            <w:tcW w:w="1000" w:type="dxa"/>
            <w:tcBorders>
              <w:top w:val="nil"/>
              <w:left w:val="nil"/>
              <w:bottom w:val="nil"/>
              <w:right w:val="nil"/>
            </w:tcBorders>
            <w:tcMar>
              <w:top w:w="35" w:type="dxa"/>
              <w:left w:w="50" w:type="dxa"/>
              <w:bottom w:w="35" w:type="dxa"/>
              <w:right w:w="50" w:type="dxa"/>
            </w:tcMar>
          </w:tcPr>
          <w:p w14:paraId="060D561C" w14:textId="77777777" w:rsidR="008A6F2D" w:rsidRDefault="00000000">
            <w:pPr>
              <w:spacing w:after="0" w:line="220" w:lineRule="auto"/>
              <w:jc w:val="center"/>
            </w:pPr>
            <w:r>
              <w:rPr>
                <w:rFonts w:eastAsia="Times New Roman"/>
                <w:sz w:val="18"/>
                <w:szCs w:val="18"/>
              </w:rPr>
              <w:t>0.7877</w:t>
            </w:r>
          </w:p>
        </w:tc>
        <w:tc>
          <w:tcPr>
            <w:tcW w:w="900" w:type="dxa"/>
            <w:tcBorders>
              <w:top w:val="nil"/>
              <w:left w:val="nil"/>
              <w:bottom w:val="nil"/>
              <w:right w:val="nil"/>
            </w:tcBorders>
            <w:tcMar>
              <w:top w:w="35" w:type="dxa"/>
              <w:left w:w="50" w:type="dxa"/>
              <w:bottom w:w="35" w:type="dxa"/>
              <w:right w:w="50" w:type="dxa"/>
            </w:tcMar>
          </w:tcPr>
          <w:p w14:paraId="48AD1E1A" w14:textId="77777777" w:rsidR="008A6F2D" w:rsidRDefault="00000000">
            <w:pPr>
              <w:spacing w:after="0" w:line="220" w:lineRule="auto"/>
              <w:jc w:val="center"/>
            </w:pPr>
            <w:r>
              <w:rPr>
                <w:rFonts w:eastAsia="Times New Roman"/>
                <w:sz w:val="18"/>
                <w:szCs w:val="18"/>
              </w:rPr>
              <w:t>0.2292</w:t>
            </w:r>
          </w:p>
        </w:tc>
        <w:tc>
          <w:tcPr>
            <w:tcW w:w="1000" w:type="dxa"/>
            <w:tcBorders>
              <w:top w:val="nil"/>
              <w:left w:val="nil"/>
              <w:bottom w:val="nil"/>
              <w:right w:val="nil"/>
            </w:tcBorders>
            <w:tcMar>
              <w:top w:w="35" w:type="dxa"/>
              <w:left w:w="50" w:type="dxa"/>
              <w:bottom w:w="35" w:type="dxa"/>
              <w:right w:w="50" w:type="dxa"/>
            </w:tcMar>
          </w:tcPr>
          <w:p w14:paraId="3468B28C" w14:textId="77777777" w:rsidR="008A6F2D" w:rsidRDefault="00000000">
            <w:pPr>
              <w:spacing w:after="0" w:line="220" w:lineRule="auto"/>
              <w:jc w:val="center"/>
            </w:pPr>
            <w:r>
              <w:rPr>
                <w:rFonts w:eastAsia="Times New Roman"/>
                <w:sz w:val="18"/>
                <w:szCs w:val="18"/>
              </w:rPr>
              <w:t>0.7875</w:t>
            </w:r>
          </w:p>
        </w:tc>
        <w:tc>
          <w:tcPr>
            <w:tcW w:w="1000" w:type="dxa"/>
            <w:tcBorders>
              <w:top w:val="nil"/>
              <w:left w:val="nil"/>
              <w:bottom w:val="nil"/>
              <w:right w:val="nil"/>
            </w:tcBorders>
            <w:tcMar>
              <w:top w:w="35" w:type="dxa"/>
              <w:left w:w="50" w:type="dxa"/>
              <w:bottom w:w="35" w:type="dxa"/>
              <w:right w:w="50" w:type="dxa"/>
            </w:tcMar>
          </w:tcPr>
          <w:p w14:paraId="2F967C4D" w14:textId="77777777" w:rsidR="008A6F2D" w:rsidRDefault="00000000">
            <w:pPr>
              <w:spacing w:after="0" w:line="220" w:lineRule="auto"/>
              <w:jc w:val="center"/>
            </w:pPr>
            <w:r>
              <w:rPr>
                <w:rFonts w:eastAsia="Times New Roman"/>
                <w:sz w:val="18"/>
                <w:szCs w:val="18"/>
              </w:rPr>
              <w:t>0.7095</w:t>
            </w:r>
          </w:p>
        </w:tc>
        <w:tc>
          <w:tcPr>
            <w:tcW w:w="1000" w:type="dxa"/>
            <w:tcBorders>
              <w:top w:val="nil"/>
              <w:left w:val="nil"/>
              <w:bottom w:val="nil"/>
              <w:right w:val="nil"/>
            </w:tcBorders>
            <w:tcMar>
              <w:top w:w="35" w:type="dxa"/>
              <w:left w:w="50" w:type="dxa"/>
              <w:bottom w:w="35" w:type="dxa"/>
              <w:right w:w="50" w:type="dxa"/>
            </w:tcMar>
          </w:tcPr>
          <w:p w14:paraId="3B2B6ED7" w14:textId="77777777" w:rsidR="008A6F2D" w:rsidRDefault="00000000">
            <w:pPr>
              <w:spacing w:after="0" w:line="220" w:lineRule="auto"/>
              <w:jc w:val="center"/>
            </w:pPr>
            <w:r>
              <w:rPr>
                <w:rFonts w:eastAsia="Times New Roman"/>
                <w:sz w:val="18"/>
                <w:szCs w:val="18"/>
              </w:rPr>
              <w:t>0.8154</w:t>
            </w:r>
          </w:p>
        </w:tc>
        <w:tc>
          <w:tcPr>
            <w:tcW w:w="900" w:type="dxa"/>
            <w:tcBorders>
              <w:top w:val="nil"/>
              <w:left w:val="nil"/>
              <w:bottom w:val="nil"/>
              <w:right w:val="nil"/>
            </w:tcBorders>
            <w:tcMar>
              <w:top w:w="35" w:type="dxa"/>
              <w:left w:w="50" w:type="dxa"/>
              <w:bottom w:w="35" w:type="dxa"/>
              <w:right w:w="50" w:type="dxa"/>
            </w:tcMar>
          </w:tcPr>
          <w:p w14:paraId="0C47F1EB" w14:textId="77777777" w:rsidR="008A6F2D" w:rsidRDefault="00000000">
            <w:pPr>
              <w:spacing w:after="0" w:line="220" w:lineRule="auto"/>
              <w:jc w:val="center"/>
            </w:pPr>
            <w:r>
              <w:rPr>
                <w:rFonts w:eastAsia="Times New Roman"/>
                <w:sz w:val="18"/>
                <w:szCs w:val="18"/>
              </w:rPr>
              <w:t>57.91</w:t>
            </w:r>
          </w:p>
        </w:tc>
      </w:tr>
      <w:tr w:rsidR="008A6F2D" w14:paraId="3ED74E32" w14:textId="77777777">
        <w:tblPrEx>
          <w:tblCellMar>
            <w:top w:w="0" w:type="dxa"/>
            <w:bottom w:w="0" w:type="dxa"/>
          </w:tblCellMar>
        </w:tblPrEx>
        <w:trPr>
          <w:cantSplit/>
        </w:trPr>
        <w:tc>
          <w:tcPr>
            <w:tcW w:w="1800" w:type="dxa"/>
            <w:tcBorders>
              <w:top w:val="nil"/>
              <w:left w:val="nil"/>
              <w:bottom w:val="nil"/>
              <w:right w:val="nil"/>
            </w:tcBorders>
            <w:tcMar>
              <w:top w:w="35" w:type="dxa"/>
              <w:left w:w="50" w:type="dxa"/>
              <w:bottom w:w="35" w:type="dxa"/>
              <w:right w:w="50" w:type="dxa"/>
            </w:tcMar>
          </w:tcPr>
          <w:p w14:paraId="2AF0D807" w14:textId="77777777" w:rsidR="008A6F2D" w:rsidRDefault="00000000">
            <w:pPr>
              <w:spacing w:after="0" w:line="220" w:lineRule="auto"/>
              <w:jc w:val="left"/>
            </w:pPr>
            <w:proofErr w:type="spellStart"/>
            <w:r>
              <w:rPr>
                <w:rFonts w:eastAsia="Times New Roman"/>
                <w:sz w:val="18"/>
                <w:szCs w:val="18"/>
              </w:rPr>
              <w:t>XGBoost</w:t>
            </w:r>
            <w:proofErr w:type="spellEnd"/>
          </w:p>
        </w:tc>
        <w:tc>
          <w:tcPr>
            <w:tcW w:w="1000" w:type="dxa"/>
            <w:tcBorders>
              <w:top w:val="nil"/>
              <w:left w:val="nil"/>
              <w:bottom w:val="nil"/>
              <w:right w:val="nil"/>
            </w:tcBorders>
            <w:tcMar>
              <w:top w:w="35" w:type="dxa"/>
              <w:left w:w="50" w:type="dxa"/>
              <w:bottom w:w="35" w:type="dxa"/>
              <w:right w:w="50" w:type="dxa"/>
            </w:tcMar>
          </w:tcPr>
          <w:p w14:paraId="749C57B6" w14:textId="77777777" w:rsidR="008A6F2D" w:rsidRDefault="00000000">
            <w:pPr>
              <w:spacing w:after="0" w:line="220" w:lineRule="auto"/>
              <w:jc w:val="center"/>
            </w:pPr>
            <w:r>
              <w:rPr>
                <w:rFonts w:eastAsia="Times New Roman"/>
                <w:sz w:val="18"/>
                <w:szCs w:val="18"/>
              </w:rPr>
              <w:t>0.8144</w:t>
            </w:r>
          </w:p>
        </w:tc>
        <w:tc>
          <w:tcPr>
            <w:tcW w:w="1000" w:type="dxa"/>
            <w:tcBorders>
              <w:top w:val="nil"/>
              <w:left w:val="nil"/>
              <w:bottom w:val="nil"/>
              <w:right w:val="nil"/>
            </w:tcBorders>
            <w:tcMar>
              <w:top w:w="35" w:type="dxa"/>
              <w:left w:w="50" w:type="dxa"/>
              <w:bottom w:w="35" w:type="dxa"/>
              <w:right w:w="50" w:type="dxa"/>
            </w:tcMar>
          </w:tcPr>
          <w:p w14:paraId="2CDDD2C9" w14:textId="77777777" w:rsidR="008A6F2D" w:rsidRDefault="00000000">
            <w:pPr>
              <w:spacing w:after="0" w:line="220" w:lineRule="auto"/>
              <w:jc w:val="center"/>
            </w:pPr>
            <w:r>
              <w:rPr>
                <w:rFonts w:eastAsia="Times New Roman"/>
                <w:sz w:val="18"/>
                <w:szCs w:val="18"/>
              </w:rPr>
              <w:t>0.8371</w:t>
            </w:r>
          </w:p>
        </w:tc>
        <w:tc>
          <w:tcPr>
            <w:tcW w:w="900" w:type="dxa"/>
            <w:tcBorders>
              <w:top w:val="nil"/>
              <w:left w:val="nil"/>
              <w:bottom w:val="nil"/>
              <w:right w:val="nil"/>
            </w:tcBorders>
            <w:tcMar>
              <w:top w:w="35" w:type="dxa"/>
              <w:left w:w="50" w:type="dxa"/>
              <w:bottom w:w="35" w:type="dxa"/>
              <w:right w:w="50" w:type="dxa"/>
            </w:tcMar>
          </w:tcPr>
          <w:p w14:paraId="54EC31A0" w14:textId="77777777" w:rsidR="008A6F2D" w:rsidRDefault="00000000">
            <w:pPr>
              <w:spacing w:after="0" w:line="220" w:lineRule="auto"/>
              <w:jc w:val="center"/>
            </w:pPr>
            <w:r>
              <w:rPr>
                <w:rFonts w:eastAsia="Times New Roman"/>
                <w:sz w:val="18"/>
                <w:szCs w:val="18"/>
              </w:rPr>
              <w:t>0.0155</w:t>
            </w:r>
          </w:p>
        </w:tc>
        <w:tc>
          <w:tcPr>
            <w:tcW w:w="1000" w:type="dxa"/>
            <w:tcBorders>
              <w:top w:val="nil"/>
              <w:left w:val="nil"/>
              <w:bottom w:val="nil"/>
              <w:right w:val="nil"/>
            </w:tcBorders>
            <w:tcMar>
              <w:top w:w="35" w:type="dxa"/>
              <w:left w:w="50" w:type="dxa"/>
              <w:bottom w:w="35" w:type="dxa"/>
              <w:right w:w="50" w:type="dxa"/>
            </w:tcMar>
          </w:tcPr>
          <w:p w14:paraId="0438A158" w14:textId="77777777" w:rsidR="008A6F2D" w:rsidRDefault="00000000">
            <w:pPr>
              <w:spacing w:after="0" w:line="220" w:lineRule="auto"/>
              <w:jc w:val="center"/>
            </w:pPr>
            <w:r>
              <w:rPr>
                <w:rFonts w:eastAsia="Times New Roman"/>
                <w:sz w:val="18"/>
                <w:szCs w:val="18"/>
              </w:rPr>
              <w:t>0.8905</w:t>
            </w:r>
          </w:p>
        </w:tc>
        <w:tc>
          <w:tcPr>
            <w:tcW w:w="1000" w:type="dxa"/>
            <w:tcBorders>
              <w:top w:val="nil"/>
              <w:left w:val="nil"/>
              <w:bottom w:val="nil"/>
              <w:right w:val="nil"/>
            </w:tcBorders>
            <w:tcMar>
              <w:top w:w="35" w:type="dxa"/>
              <w:left w:w="50" w:type="dxa"/>
              <w:bottom w:w="35" w:type="dxa"/>
              <w:right w:w="50" w:type="dxa"/>
            </w:tcMar>
          </w:tcPr>
          <w:p w14:paraId="0B9254C2" w14:textId="77777777" w:rsidR="008A6F2D" w:rsidRDefault="00000000">
            <w:pPr>
              <w:spacing w:after="0" w:line="220" w:lineRule="auto"/>
              <w:jc w:val="center"/>
            </w:pPr>
            <w:r>
              <w:rPr>
                <w:rFonts w:eastAsia="Times New Roman"/>
                <w:sz w:val="18"/>
                <w:szCs w:val="18"/>
              </w:rPr>
              <w:t>0.6944</w:t>
            </w:r>
          </w:p>
        </w:tc>
        <w:tc>
          <w:tcPr>
            <w:tcW w:w="1000" w:type="dxa"/>
            <w:tcBorders>
              <w:top w:val="nil"/>
              <w:left w:val="nil"/>
              <w:bottom w:val="nil"/>
              <w:right w:val="nil"/>
            </w:tcBorders>
            <w:tcMar>
              <w:top w:w="35" w:type="dxa"/>
              <w:left w:w="50" w:type="dxa"/>
              <w:bottom w:w="35" w:type="dxa"/>
              <w:right w:w="50" w:type="dxa"/>
            </w:tcMar>
          </w:tcPr>
          <w:p w14:paraId="07CA5B44" w14:textId="77777777" w:rsidR="008A6F2D" w:rsidRDefault="00000000">
            <w:pPr>
              <w:spacing w:after="0" w:line="220" w:lineRule="auto"/>
              <w:jc w:val="center"/>
            </w:pPr>
            <w:r>
              <w:rPr>
                <w:rFonts w:eastAsia="Times New Roman"/>
                <w:sz w:val="18"/>
                <w:szCs w:val="18"/>
              </w:rPr>
              <w:t>0.8583</w:t>
            </w:r>
          </w:p>
        </w:tc>
        <w:tc>
          <w:tcPr>
            <w:tcW w:w="900" w:type="dxa"/>
            <w:tcBorders>
              <w:top w:val="nil"/>
              <w:left w:val="nil"/>
              <w:bottom w:val="nil"/>
              <w:right w:val="nil"/>
            </w:tcBorders>
            <w:tcMar>
              <w:top w:w="35" w:type="dxa"/>
              <w:left w:w="50" w:type="dxa"/>
              <w:bottom w:w="35" w:type="dxa"/>
              <w:right w:w="50" w:type="dxa"/>
            </w:tcMar>
          </w:tcPr>
          <w:p w14:paraId="791BE96F" w14:textId="77777777" w:rsidR="008A6F2D" w:rsidRDefault="00000000">
            <w:pPr>
              <w:spacing w:after="0" w:line="220" w:lineRule="auto"/>
              <w:jc w:val="center"/>
            </w:pPr>
            <w:r>
              <w:rPr>
                <w:rFonts w:eastAsia="Times New Roman"/>
                <w:sz w:val="18"/>
                <w:szCs w:val="18"/>
              </w:rPr>
              <w:t>67.64</w:t>
            </w:r>
          </w:p>
        </w:tc>
      </w:tr>
      <w:tr w:rsidR="008A6F2D" w14:paraId="3691C2E3" w14:textId="77777777">
        <w:tblPrEx>
          <w:tblCellMar>
            <w:top w:w="0" w:type="dxa"/>
            <w:bottom w:w="0" w:type="dxa"/>
          </w:tblCellMar>
        </w:tblPrEx>
        <w:trPr>
          <w:cantSplit/>
        </w:trPr>
        <w:tc>
          <w:tcPr>
            <w:tcW w:w="1800" w:type="dxa"/>
            <w:tcBorders>
              <w:top w:val="nil"/>
              <w:left w:val="nil"/>
              <w:bottom w:val="single" w:sz="4" w:space="0" w:color="000000"/>
              <w:right w:val="nil"/>
            </w:tcBorders>
            <w:tcMar>
              <w:top w:w="35" w:type="dxa"/>
              <w:left w:w="50" w:type="dxa"/>
              <w:bottom w:w="35" w:type="dxa"/>
              <w:right w:w="50" w:type="dxa"/>
            </w:tcMar>
          </w:tcPr>
          <w:p w14:paraId="64DFAC34" w14:textId="77777777" w:rsidR="008A6F2D" w:rsidRDefault="00000000">
            <w:pPr>
              <w:spacing w:after="0" w:line="220" w:lineRule="auto"/>
              <w:jc w:val="left"/>
            </w:pPr>
            <w:r>
              <w:rPr>
                <w:rFonts w:eastAsia="Times New Roman"/>
                <w:sz w:val="18"/>
                <w:szCs w:val="18"/>
              </w:rPr>
              <w:t xml:space="preserve">Tuned </w:t>
            </w:r>
            <w:proofErr w:type="spellStart"/>
            <w:r>
              <w:rPr>
                <w:rFonts w:eastAsia="Times New Roman"/>
                <w:sz w:val="18"/>
                <w:szCs w:val="18"/>
              </w:rPr>
              <w:t>XGBoost</w:t>
            </w:r>
            <w:proofErr w:type="spellEnd"/>
          </w:p>
        </w:tc>
        <w:tc>
          <w:tcPr>
            <w:tcW w:w="1000" w:type="dxa"/>
            <w:tcBorders>
              <w:top w:val="nil"/>
              <w:left w:val="nil"/>
              <w:bottom w:val="single" w:sz="4" w:space="0" w:color="000000"/>
              <w:right w:val="nil"/>
            </w:tcBorders>
            <w:tcMar>
              <w:top w:w="35" w:type="dxa"/>
              <w:left w:w="50" w:type="dxa"/>
              <w:bottom w:w="35" w:type="dxa"/>
              <w:right w:w="50" w:type="dxa"/>
            </w:tcMar>
          </w:tcPr>
          <w:p w14:paraId="73DE3123" w14:textId="77777777" w:rsidR="008A6F2D" w:rsidRDefault="00000000">
            <w:pPr>
              <w:spacing w:after="0" w:line="220" w:lineRule="auto"/>
              <w:jc w:val="center"/>
            </w:pPr>
            <w:r>
              <w:rPr>
                <w:rFonts w:eastAsia="Times New Roman"/>
                <w:sz w:val="18"/>
                <w:szCs w:val="18"/>
              </w:rPr>
              <w:t>0.8520</w:t>
            </w:r>
          </w:p>
        </w:tc>
        <w:tc>
          <w:tcPr>
            <w:tcW w:w="1000" w:type="dxa"/>
            <w:tcBorders>
              <w:top w:val="nil"/>
              <w:left w:val="nil"/>
              <w:bottom w:val="single" w:sz="4" w:space="0" w:color="000000"/>
              <w:right w:val="nil"/>
            </w:tcBorders>
            <w:tcMar>
              <w:top w:w="35" w:type="dxa"/>
              <w:left w:w="50" w:type="dxa"/>
              <w:bottom w:w="35" w:type="dxa"/>
              <w:right w:w="50" w:type="dxa"/>
            </w:tcMar>
          </w:tcPr>
          <w:p w14:paraId="2E0FFB49" w14:textId="77777777" w:rsidR="008A6F2D" w:rsidRDefault="00000000">
            <w:pPr>
              <w:spacing w:after="0" w:line="220" w:lineRule="auto"/>
              <w:jc w:val="center"/>
            </w:pPr>
            <w:r>
              <w:rPr>
                <w:rFonts w:eastAsia="Times New Roman"/>
                <w:sz w:val="18"/>
                <w:szCs w:val="18"/>
              </w:rPr>
              <w:t>0.8700</w:t>
            </w:r>
          </w:p>
        </w:tc>
        <w:tc>
          <w:tcPr>
            <w:tcW w:w="900" w:type="dxa"/>
            <w:tcBorders>
              <w:top w:val="nil"/>
              <w:left w:val="nil"/>
              <w:bottom w:val="single" w:sz="4" w:space="0" w:color="000000"/>
              <w:right w:val="nil"/>
            </w:tcBorders>
            <w:tcMar>
              <w:top w:w="35" w:type="dxa"/>
              <w:left w:w="50" w:type="dxa"/>
              <w:bottom w:w="35" w:type="dxa"/>
              <w:right w:w="50" w:type="dxa"/>
            </w:tcMar>
          </w:tcPr>
          <w:p w14:paraId="3627E4D4" w14:textId="77777777" w:rsidR="008A6F2D" w:rsidRDefault="00000000">
            <w:pPr>
              <w:spacing w:after="0" w:line="220" w:lineRule="auto"/>
              <w:jc w:val="center"/>
            </w:pPr>
            <w:r>
              <w:rPr>
                <w:rFonts w:eastAsia="Times New Roman"/>
                <w:sz w:val="18"/>
                <w:szCs w:val="18"/>
              </w:rPr>
              <w:t>0.1219</w:t>
            </w:r>
          </w:p>
        </w:tc>
        <w:tc>
          <w:tcPr>
            <w:tcW w:w="1000" w:type="dxa"/>
            <w:tcBorders>
              <w:top w:val="nil"/>
              <w:left w:val="nil"/>
              <w:bottom w:val="single" w:sz="4" w:space="0" w:color="000000"/>
              <w:right w:val="nil"/>
            </w:tcBorders>
            <w:tcMar>
              <w:top w:w="35" w:type="dxa"/>
              <w:left w:w="50" w:type="dxa"/>
              <w:bottom w:w="35" w:type="dxa"/>
              <w:right w:w="50" w:type="dxa"/>
            </w:tcMar>
          </w:tcPr>
          <w:p w14:paraId="33827388" w14:textId="77777777" w:rsidR="008A6F2D" w:rsidRDefault="00000000">
            <w:pPr>
              <w:spacing w:after="0" w:line="220" w:lineRule="auto"/>
              <w:jc w:val="center"/>
            </w:pPr>
            <w:r>
              <w:rPr>
                <w:rFonts w:eastAsia="Times New Roman"/>
                <w:sz w:val="18"/>
                <w:szCs w:val="18"/>
              </w:rPr>
              <w:t>0.9084</w:t>
            </w:r>
          </w:p>
        </w:tc>
        <w:tc>
          <w:tcPr>
            <w:tcW w:w="1000" w:type="dxa"/>
            <w:tcBorders>
              <w:top w:val="nil"/>
              <w:left w:val="nil"/>
              <w:bottom w:val="single" w:sz="4" w:space="0" w:color="000000"/>
              <w:right w:val="nil"/>
            </w:tcBorders>
            <w:tcMar>
              <w:top w:w="35" w:type="dxa"/>
              <w:left w:w="50" w:type="dxa"/>
              <w:bottom w:w="35" w:type="dxa"/>
              <w:right w:w="50" w:type="dxa"/>
            </w:tcMar>
          </w:tcPr>
          <w:p w14:paraId="2E96EC11" w14:textId="77777777" w:rsidR="008A6F2D" w:rsidRDefault="00000000">
            <w:pPr>
              <w:spacing w:after="0" w:line="220" w:lineRule="auto"/>
              <w:jc w:val="center"/>
            </w:pPr>
            <w:r>
              <w:rPr>
                <w:rFonts w:eastAsia="Times New Roman"/>
                <w:sz w:val="18"/>
                <w:szCs w:val="18"/>
              </w:rPr>
              <w:t>0.7620</w:t>
            </w:r>
          </w:p>
        </w:tc>
        <w:tc>
          <w:tcPr>
            <w:tcW w:w="1000" w:type="dxa"/>
            <w:tcBorders>
              <w:top w:val="nil"/>
              <w:left w:val="nil"/>
              <w:bottom w:val="single" w:sz="4" w:space="0" w:color="000000"/>
              <w:right w:val="nil"/>
            </w:tcBorders>
            <w:tcMar>
              <w:top w:w="35" w:type="dxa"/>
              <w:left w:w="50" w:type="dxa"/>
              <w:bottom w:w="35" w:type="dxa"/>
              <w:right w:w="50" w:type="dxa"/>
            </w:tcMar>
          </w:tcPr>
          <w:p w14:paraId="6EEB22D6" w14:textId="77777777" w:rsidR="008A6F2D" w:rsidRDefault="00000000">
            <w:pPr>
              <w:spacing w:after="0" w:line="220" w:lineRule="auto"/>
              <w:jc w:val="center"/>
            </w:pPr>
            <w:r>
              <w:rPr>
                <w:rFonts w:eastAsia="Times New Roman"/>
                <w:sz w:val="18"/>
                <w:szCs w:val="18"/>
              </w:rPr>
              <w:t>0.8854</w:t>
            </w:r>
          </w:p>
        </w:tc>
        <w:tc>
          <w:tcPr>
            <w:tcW w:w="900" w:type="dxa"/>
            <w:tcBorders>
              <w:top w:val="nil"/>
              <w:left w:val="nil"/>
              <w:bottom w:val="single" w:sz="4" w:space="0" w:color="000000"/>
              <w:right w:val="nil"/>
            </w:tcBorders>
            <w:tcMar>
              <w:top w:w="35" w:type="dxa"/>
              <w:left w:w="50" w:type="dxa"/>
              <w:bottom w:w="35" w:type="dxa"/>
              <w:right w:w="50" w:type="dxa"/>
            </w:tcMar>
          </w:tcPr>
          <w:p w14:paraId="4DA463B4" w14:textId="77777777" w:rsidR="008A6F2D" w:rsidRDefault="00000000">
            <w:pPr>
              <w:spacing w:after="0" w:line="220" w:lineRule="auto"/>
              <w:jc w:val="center"/>
            </w:pPr>
            <w:r>
              <w:rPr>
                <w:rFonts w:eastAsia="Times New Roman"/>
                <w:sz w:val="18"/>
                <w:szCs w:val="18"/>
              </w:rPr>
              <w:t>142.65</w:t>
            </w:r>
          </w:p>
        </w:tc>
      </w:tr>
    </w:tbl>
    <w:p w14:paraId="10EE57C8" w14:textId="77777777" w:rsidR="008A6F2D" w:rsidRDefault="00000000">
      <w:pPr>
        <w:spacing w:before="25" w:after="80"/>
        <w:jc w:val="center"/>
      </w:pPr>
      <w:r>
        <w:rPr>
          <w:rFonts w:eastAsia="Times New Roman"/>
          <w:sz w:val="19"/>
          <w:szCs w:val="19"/>
        </w:rPr>
        <w:t>Gap = train_F1 − val_F1.</w:t>
      </w:r>
    </w:p>
    <w:p w14:paraId="22AA5AEA" w14:textId="77777777" w:rsidR="008A6F2D" w:rsidRDefault="00000000">
      <w:r>
        <w:rPr>
          <w:rFonts w:eastAsia="Times New Roman"/>
        </w:rPr>
        <w:t xml:space="preserve">The results provide strong evidence for the theoretical predictions. Random Forest achieved a training macro-F1 of 1.0000 (perfect fit on the training set) but a validation macro-F1 of only 0.7708, yielding a </w:t>
      </w:r>
      <w:proofErr w:type="spellStart"/>
      <w:r>
        <w:rPr>
          <w:rFonts w:eastAsia="Times New Roman"/>
        </w:rPr>
        <w:t>generalisation</w:t>
      </w:r>
      <w:proofErr w:type="spellEnd"/>
      <w:r>
        <w:rPr>
          <w:rFonts w:eastAsia="Times New Roman"/>
        </w:rPr>
        <w:t xml:space="preserve"> gap of 0.2292. This extreme overfitting is also confirmed visually in the Random Forest confusion matrix produced in the notebook. </w:t>
      </w:r>
      <w:proofErr w:type="spellStart"/>
      <w:r>
        <w:rPr>
          <w:rFonts w:eastAsia="Times New Roman"/>
        </w:rPr>
        <w:t>XGBoost</w:t>
      </w:r>
      <w:proofErr w:type="spellEnd"/>
      <w:r>
        <w:rPr>
          <w:rFonts w:eastAsia="Times New Roman"/>
        </w:rPr>
        <w:t xml:space="preserve">, by contrast, had a training macro-F1 of 0.8297 and a validation macro-F1 of 0.8144, giving a gap of only 0.0155. The difference in gaps is striking: RF’s overfitting is roughly 15 times larger than </w:t>
      </w:r>
      <w:proofErr w:type="spellStart"/>
      <w:r>
        <w:rPr>
          <w:rFonts w:eastAsia="Times New Roman"/>
        </w:rPr>
        <w:t>XGBoost’s</w:t>
      </w:r>
      <w:proofErr w:type="spellEnd"/>
      <w:r>
        <w:rPr>
          <w:rFonts w:eastAsia="Times New Roman"/>
        </w:rPr>
        <w:t>.</w:t>
      </w:r>
    </w:p>
    <w:p w14:paraId="7C6E92E1" w14:textId="77777777" w:rsidR="008A6F2D" w:rsidRDefault="00000000">
      <w:r>
        <w:rPr>
          <w:rFonts w:eastAsia="Times New Roman"/>
        </w:rPr>
        <w:t xml:space="preserve">The per-class F1 column in Table 1 reveals further structure. Before tuning, RF achieved a Low-class F1 of 0.7095, outperforming untuned </w:t>
      </w:r>
      <w:proofErr w:type="spellStart"/>
      <w:r>
        <w:rPr>
          <w:rFonts w:eastAsia="Times New Roman"/>
        </w:rPr>
        <w:t>XGBoost</w:t>
      </w:r>
      <w:proofErr w:type="spellEnd"/>
      <w:r>
        <w:rPr>
          <w:rFonts w:eastAsia="Times New Roman"/>
        </w:rPr>
        <w:t xml:space="preserve"> (0.6944) on the minority class, but this advantage disappears once </w:t>
      </w:r>
      <w:proofErr w:type="spellStart"/>
      <w:r>
        <w:rPr>
          <w:rFonts w:eastAsia="Times New Roman"/>
        </w:rPr>
        <w:t>XGBoost</w:t>
      </w:r>
      <w:proofErr w:type="spellEnd"/>
      <w:r>
        <w:rPr>
          <w:rFonts w:eastAsia="Times New Roman"/>
        </w:rPr>
        <w:t xml:space="preserve"> is tuned. After </w:t>
      </w:r>
      <w:proofErr w:type="spellStart"/>
      <w:r>
        <w:rPr>
          <w:rFonts w:eastAsia="Times New Roman"/>
        </w:rPr>
        <w:t>Optuna</w:t>
      </w:r>
      <w:proofErr w:type="spellEnd"/>
      <w:r>
        <w:rPr>
          <w:rFonts w:eastAsia="Times New Roman"/>
        </w:rPr>
        <w:t xml:space="preserve"> tuning, </w:t>
      </w:r>
      <w:proofErr w:type="spellStart"/>
      <w:r>
        <w:rPr>
          <w:rFonts w:eastAsia="Times New Roman"/>
        </w:rPr>
        <w:t>XGBoost’s</w:t>
      </w:r>
      <w:proofErr w:type="spellEnd"/>
      <w:r>
        <w:rPr>
          <w:rFonts w:eastAsia="Times New Roman"/>
        </w:rPr>
        <w:t xml:space="preserve"> Low-class F1 rises to 0.7620, a gain of +0.0676 over </w:t>
      </w:r>
      <w:proofErr w:type="gramStart"/>
      <w:r>
        <w:rPr>
          <w:rFonts w:eastAsia="Times New Roman"/>
        </w:rPr>
        <w:t>its</w:t>
      </w:r>
      <w:proofErr w:type="gramEnd"/>
      <w:r>
        <w:rPr>
          <w:rFonts w:eastAsia="Times New Roman"/>
        </w:rPr>
        <w:t xml:space="preserve"> untuned state and substantially higher than RF’s 0.7095. This demonstrates that boosting’s sequential residual correction is better suited to learning the non-linear decision boundary between risk classes on this dataset. Bagging’s variance-reduction mechanism cannot compensate for the bias that fully-grown trees impose on a mixed numerical and categorical feature space, which is why Random Forest underperforms here.</w:t>
      </w:r>
    </w:p>
    <w:p w14:paraId="3905B3B4" w14:textId="77777777" w:rsidR="008A6F2D" w:rsidRDefault="00000000">
      <w:pPr>
        <w:pStyle w:val="1"/>
      </w:pPr>
      <w:r>
        <w:rPr>
          <w:sz w:val="30"/>
          <w:szCs w:val="30"/>
        </w:rPr>
        <w:t xml:space="preserve">Hyperparameter </w:t>
      </w:r>
      <w:proofErr w:type="spellStart"/>
      <w:r>
        <w:rPr>
          <w:sz w:val="30"/>
          <w:szCs w:val="30"/>
        </w:rPr>
        <w:t>Optimisation</w:t>
      </w:r>
      <w:proofErr w:type="spellEnd"/>
    </w:p>
    <w:p w14:paraId="2ACBE4DF" w14:textId="77777777" w:rsidR="008A6F2D" w:rsidRDefault="00000000">
      <w:r>
        <w:rPr>
          <w:rFonts w:eastAsia="Times New Roman"/>
        </w:rPr>
        <w:t xml:space="preserve">I used </w:t>
      </w:r>
      <w:proofErr w:type="spellStart"/>
      <w:r>
        <w:rPr>
          <w:rFonts w:eastAsia="Times New Roman"/>
        </w:rPr>
        <w:t>Optuna</w:t>
      </w:r>
      <w:proofErr w:type="spellEnd"/>
      <w:r>
        <w:rPr>
          <w:rFonts w:eastAsia="Times New Roman"/>
        </w:rPr>
        <w:t xml:space="preserve"> with the TPE (Tree-structured Parzen Estimator) sampler for 30 trials, targeting </w:t>
      </w:r>
      <w:proofErr w:type="spellStart"/>
      <w:r>
        <w:rPr>
          <w:rFonts w:eastAsia="Times New Roman"/>
        </w:rPr>
        <w:t>maximisation</w:t>
      </w:r>
      <w:proofErr w:type="spellEnd"/>
      <w:r>
        <w:rPr>
          <w:rFonts w:eastAsia="Times New Roman"/>
        </w:rPr>
        <w:t xml:space="preserve"> of validation macro-F1. The search space covered nine </w:t>
      </w:r>
      <w:proofErr w:type="spellStart"/>
      <w:r>
        <w:rPr>
          <w:rFonts w:eastAsia="Times New Roman"/>
        </w:rPr>
        <w:t>XGBoost</w:t>
      </w:r>
      <w:proofErr w:type="spellEnd"/>
      <w:r>
        <w:rPr>
          <w:rFonts w:eastAsia="Times New Roman"/>
        </w:rPr>
        <w:t xml:space="preserve"> hyperparameters: </w:t>
      </w:r>
      <w:proofErr w:type="spellStart"/>
      <w:r>
        <w:rPr>
          <w:rFonts w:eastAsia="Times New Roman"/>
        </w:rPr>
        <w:t>n_estimators</w:t>
      </w:r>
      <w:proofErr w:type="spellEnd"/>
      <w:r>
        <w:rPr>
          <w:rFonts w:eastAsia="Times New Roman"/>
        </w:rPr>
        <w:t xml:space="preserve"> (100–500), </w:t>
      </w:r>
      <w:proofErr w:type="spellStart"/>
      <w:r>
        <w:rPr>
          <w:rFonts w:eastAsia="Times New Roman"/>
        </w:rPr>
        <w:t>max_depth</w:t>
      </w:r>
      <w:proofErr w:type="spellEnd"/>
      <w:r>
        <w:rPr>
          <w:rFonts w:eastAsia="Times New Roman"/>
        </w:rPr>
        <w:t xml:space="preserve"> (3–10), </w:t>
      </w:r>
      <w:proofErr w:type="spellStart"/>
      <w:r>
        <w:rPr>
          <w:rFonts w:eastAsia="Times New Roman"/>
        </w:rPr>
        <w:t>learning_rate</w:t>
      </w:r>
      <w:proofErr w:type="spellEnd"/>
      <w:r>
        <w:rPr>
          <w:rFonts w:eastAsia="Times New Roman"/>
        </w:rPr>
        <w:t xml:space="preserve"> (0.01–0.3, log-scale), </w:t>
      </w:r>
      <w:proofErr w:type="spellStart"/>
      <w:r>
        <w:rPr>
          <w:rFonts w:eastAsia="Times New Roman"/>
        </w:rPr>
        <w:t>min_child_weight</w:t>
      </w:r>
      <w:proofErr w:type="spellEnd"/>
      <w:r>
        <w:rPr>
          <w:rFonts w:eastAsia="Times New Roman"/>
        </w:rPr>
        <w:t xml:space="preserve"> (1–10), subsample (0.5–1.0), </w:t>
      </w:r>
      <w:proofErr w:type="spellStart"/>
      <w:r>
        <w:rPr>
          <w:rFonts w:eastAsia="Times New Roman"/>
        </w:rPr>
        <w:t>colsample_bytree</w:t>
      </w:r>
      <w:proofErr w:type="spellEnd"/>
      <w:r>
        <w:rPr>
          <w:rFonts w:eastAsia="Times New Roman"/>
        </w:rPr>
        <w:t xml:space="preserve"> (0.5–1.0), gamma (0–5), </w:t>
      </w:r>
      <w:proofErr w:type="spellStart"/>
      <w:r>
        <w:rPr>
          <w:rFonts w:eastAsia="Times New Roman"/>
        </w:rPr>
        <w:t>reg_alpha</w:t>
      </w:r>
      <w:proofErr w:type="spellEnd"/>
      <w:r>
        <w:rPr>
          <w:rFonts w:eastAsia="Times New Roman"/>
        </w:rPr>
        <w:t xml:space="preserve"> (10−4–10, log-scale), and </w:t>
      </w:r>
      <w:proofErr w:type="spellStart"/>
      <w:r>
        <w:rPr>
          <w:rFonts w:eastAsia="Times New Roman"/>
        </w:rPr>
        <w:t>reg_lambda</w:t>
      </w:r>
      <w:proofErr w:type="spellEnd"/>
      <w:r>
        <w:rPr>
          <w:rFonts w:eastAsia="Times New Roman"/>
        </w:rPr>
        <w:t xml:space="preserve"> (10−4–10, log-scale). The mixture of discrete and continuous parameters with multiple interactions makes a full grid search computationally prohibitive; TPE avoids exhaustive enumeration by modelling the density of good and bad trial configurations and directing subsequent searches toward promising regions of the parameter space.</w:t>
      </w:r>
    </w:p>
    <w:p w14:paraId="6B1808BD" w14:textId="77777777" w:rsidR="008A6F2D" w:rsidRDefault="00000000">
      <w:r>
        <w:rPr>
          <w:rFonts w:eastAsia="Times New Roman"/>
        </w:rPr>
        <w:t xml:space="preserve">Trial 22 produced the best validation macro-F1 of 0.8520, a gain of +0.0376 over the untuned </w:t>
      </w:r>
      <w:proofErr w:type="spellStart"/>
      <w:r>
        <w:rPr>
          <w:rFonts w:eastAsia="Times New Roman"/>
        </w:rPr>
        <w:t>XGBoost</w:t>
      </w:r>
      <w:proofErr w:type="spellEnd"/>
      <w:r>
        <w:rPr>
          <w:rFonts w:eastAsia="Times New Roman"/>
        </w:rPr>
        <w:t xml:space="preserve"> baseline of 0.8144. The optimal configuration was: </w:t>
      </w:r>
      <w:proofErr w:type="spellStart"/>
      <w:r>
        <w:rPr>
          <w:rFonts w:eastAsia="Times New Roman"/>
        </w:rPr>
        <w:t>n_estimators</w:t>
      </w:r>
      <w:proofErr w:type="spellEnd"/>
      <w:r>
        <w:rPr>
          <w:rFonts w:eastAsia="Times New Roman"/>
        </w:rPr>
        <w:t xml:space="preserve"> = 276, </w:t>
      </w:r>
      <w:proofErr w:type="spellStart"/>
      <w:r>
        <w:rPr>
          <w:rFonts w:eastAsia="Times New Roman"/>
        </w:rPr>
        <w:t>max_depth</w:t>
      </w:r>
      <w:proofErr w:type="spellEnd"/>
      <w:r>
        <w:rPr>
          <w:rFonts w:eastAsia="Times New Roman"/>
        </w:rPr>
        <w:t xml:space="preserve"> = 9, </w:t>
      </w:r>
      <w:proofErr w:type="spellStart"/>
      <w:r>
        <w:rPr>
          <w:rFonts w:eastAsia="Times New Roman"/>
        </w:rPr>
        <w:t>learning_rate</w:t>
      </w:r>
      <w:proofErr w:type="spellEnd"/>
      <w:r>
        <w:rPr>
          <w:rFonts w:eastAsia="Times New Roman"/>
        </w:rPr>
        <w:t xml:space="preserve"> ≈ 0.192, subsample </w:t>
      </w:r>
      <w:r>
        <w:rPr>
          <w:rFonts w:eastAsia="Times New Roman"/>
        </w:rPr>
        <w:lastRenderedPageBreak/>
        <w:t xml:space="preserve">≈ 0.707, </w:t>
      </w:r>
      <w:proofErr w:type="spellStart"/>
      <w:r>
        <w:rPr>
          <w:rFonts w:eastAsia="Times New Roman"/>
        </w:rPr>
        <w:t>colsample_bytree</w:t>
      </w:r>
      <w:proofErr w:type="spellEnd"/>
      <w:r>
        <w:rPr>
          <w:rFonts w:eastAsia="Times New Roman"/>
        </w:rPr>
        <w:t xml:space="preserve"> ≈ 0.799, </w:t>
      </w:r>
      <w:proofErr w:type="spellStart"/>
      <w:r>
        <w:rPr>
          <w:rFonts w:eastAsia="Times New Roman"/>
        </w:rPr>
        <w:t>reg_lambda</w:t>
      </w:r>
      <w:proofErr w:type="spellEnd"/>
      <w:r>
        <w:rPr>
          <w:rFonts w:eastAsia="Times New Roman"/>
        </w:rPr>
        <w:t xml:space="preserve"> ≈ 5.0, and gamma ≈ 2.5. These values align with expectations: a moderate learning rate combined with large tree depth and many estimators allows the model to fit complex interactions, while subsample and </w:t>
      </w:r>
      <w:proofErr w:type="spellStart"/>
      <w:r>
        <w:rPr>
          <w:rFonts w:eastAsia="Times New Roman"/>
        </w:rPr>
        <w:t>colsample</w:t>
      </w:r>
      <w:proofErr w:type="spellEnd"/>
      <w:r>
        <w:rPr>
          <w:rFonts w:eastAsia="Times New Roman"/>
        </w:rPr>
        <w:t xml:space="preserve"> ratios around 0.7–0.8 provide </w:t>
      </w:r>
      <w:proofErr w:type="spellStart"/>
      <w:r>
        <w:rPr>
          <w:rFonts w:eastAsia="Times New Roman"/>
        </w:rPr>
        <w:t>regularisation</w:t>
      </w:r>
      <w:proofErr w:type="spellEnd"/>
      <w:r>
        <w:rPr>
          <w:rFonts w:eastAsia="Times New Roman"/>
        </w:rPr>
        <w:t xml:space="preserve">. Figure 1 shows the </w:t>
      </w:r>
      <w:proofErr w:type="spellStart"/>
      <w:r>
        <w:rPr>
          <w:rFonts w:eastAsia="Times New Roman"/>
        </w:rPr>
        <w:t>Optuna</w:t>
      </w:r>
      <w:proofErr w:type="spellEnd"/>
      <w:r>
        <w:rPr>
          <w:rFonts w:eastAsia="Times New Roman"/>
        </w:rPr>
        <w:t xml:space="preserve"> parameter-importance plot, confirming that structural parameters and the learning rate dominated the </w:t>
      </w:r>
      <w:proofErr w:type="spellStart"/>
      <w:r>
        <w:rPr>
          <w:rFonts w:eastAsia="Times New Roman"/>
        </w:rPr>
        <w:t>optimisation</w:t>
      </w:r>
      <w:proofErr w:type="spellEnd"/>
      <w:r>
        <w:rPr>
          <w:rFonts w:eastAsia="Times New Roman"/>
        </w:rPr>
        <w:t>.</w:t>
      </w:r>
    </w:p>
    <w:p w14:paraId="141430AD" w14:textId="77777777" w:rsidR="008A6F2D" w:rsidRDefault="00000000">
      <w:pPr>
        <w:spacing w:before="60" w:after="40"/>
        <w:jc w:val="center"/>
      </w:pPr>
      <w:r>
        <w:rPr>
          <w:noProof/>
        </w:rPr>
        <w:drawing>
          <wp:inline distT="0" distB="0" distL="0" distR="0" wp14:anchorId="0D2B3F59" wp14:editId="2FA12699">
            <wp:extent cx="3238500" cy="1943100"/>
            <wp:effectExtent l="0" t="0" r="0" b="0"/>
            <wp:docPr id="1" name="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38500" cy="1943100"/>
                    </a:xfrm>
                    <a:prstGeom prst="rect">
                      <a:avLst/>
                    </a:prstGeom>
                  </pic:spPr>
                </pic:pic>
              </a:graphicData>
            </a:graphic>
          </wp:inline>
        </w:drawing>
      </w:r>
    </w:p>
    <w:p w14:paraId="659C139E" w14:textId="77777777" w:rsidR="008A6F2D" w:rsidRDefault="00000000">
      <w:pPr>
        <w:spacing w:before="50" w:after="70"/>
        <w:jc w:val="center"/>
      </w:pPr>
      <w:r>
        <w:rPr>
          <w:rFonts w:eastAsia="Times New Roman"/>
          <w:sz w:val="20"/>
          <w:szCs w:val="20"/>
        </w:rPr>
        <w:t xml:space="preserve">Figure 1: </w:t>
      </w:r>
      <w:proofErr w:type="spellStart"/>
      <w:r>
        <w:rPr>
          <w:rFonts w:eastAsia="Times New Roman"/>
          <w:sz w:val="20"/>
          <w:szCs w:val="20"/>
        </w:rPr>
        <w:t>Optuna</w:t>
      </w:r>
      <w:proofErr w:type="spellEnd"/>
      <w:r>
        <w:rPr>
          <w:rFonts w:eastAsia="Times New Roman"/>
          <w:sz w:val="20"/>
          <w:szCs w:val="20"/>
        </w:rPr>
        <w:t xml:space="preserve"> parameter importance. Larger bars indicate higher influence on validation macro-F1.</w:t>
      </w:r>
    </w:p>
    <w:p w14:paraId="2FA98C23" w14:textId="77777777" w:rsidR="008A6F2D" w:rsidRDefault="00000000">
      <w:r>
        <w:rPr>
          <w:rFonts w:eastAsia="Times New Roman"/>
        </w:rPr>
        <w:t xml:space="preserve">The per-class F1 changes in Table 1 deserve particular attention, because macro-F1 weights all three classes equally. </w:t>
      </w:r>
      <w:proofErr w:type="spellStart"/>
      <w:r>
        <w:rPr>
          <w:rFonts w:eastAsia="Times New Roman"/>
        </w:rPr>
        <w:t>Optuna’s</w:t>
      </w:r>
      <w:proofErr w:type="spellEnd"/>
      <w:r>
        <w:rPr>
          <w:rFonts w:eastAsia="Times New Roman"/>
        </w:rPr>
        <w:t xml:space="preserve"> improvement in the Low class (minority) from 0.6944 to 0.7620 (+0.0676) is especially large, while the High class F1 increased from 0.8905 to 0.9084 (+0.0179) and the Standard class from 0.8583 to 0.8854 (+0.0271). This broad-based improvement across all three classes shows that TPE successfully </w:t>
      </w:r>
      <w:proofErr w:type="spellStart"/>
      <w:r>
        <w:rPr>
          <w:rFonts w:eastAsia="Times New Roman"/>
        </w:rPr>
        <w:t>optimised</w:t>
      </w:r>
      <w:proofErr w:type="spellEnd"/>
      <w:r>
        <w:rPr>
          <w:rFonts w:eastAsia="Times New Roman"/>
        </w:rPr>
        <w:t xml:space="preserve"> the class-balanced objective rather than overfitting to the majority class. The tuned model did not sacrifice performance on any single class to achieve higher overall metrics, which is exactly what the macro-F1 metric rewards.</w:t>
      </w:r>
    </w:p>
    <w:p w14:paraId="1671D83C" w14:textId="77777777" w:rsidR="008A6F2D" w:rsidRDefault="00000000">
      <w:pPr>
        <w:pStyle w:val="1"/>
      </w:pPr>
      <w:r>
        <w:rPr>
          <w:sz w:val="30"/>
          <w:szCs w:val="30"/>
        </w:rPr>
        <w:t>K-Means vs GMM</w:t>
      </w:r>
    </w:p>
    <w:p w14:paraId="28812E25" w14:textId="6DA517F3" w:rsidR="008A6F2D" w:rsidRDefault="00000000">
      <w:r>
        <w:rPr>
          <w:rFonts w:eastAsia="Times New Roman"/>
        </w:rPr>
        <w:t xml:space="preserve">K-Means assigns each sample xi to the cluster ci ∈ {1, </w:t>
      </w:r>
      <w:proofErr w:type="gramStart"/>
      <w:r>
        <w:rPr>
          <w:rFonts w:eastAsia="Times New Roman"/>
        </w:rPr>
        <w:t>. . . ,</w:t>
      </w:r>
      <w:proofErr w:type="gramEnd"/>
      <w:r>
        <w:rPr>
          <w:rFonts w:eastAsia="Times New Roman"/>
        </w:rPr>
        <w:t xml:space="preserve"> k} </w:t>
      </w:r>
      <w:proofErr w:type="gramStart"/>
      <w:r>
        <w:rPr>
          <w:rFonts w:eastAsia="Times New Roman"/>
        </w:rPr>
        <w:t>whose</w:t>
      </w:r>
      <w:proofErr w:type="gramEnd"/>
      <w:r>
        <w:rPr>
          <w:rFonts w:eastAsia="Times New Roman"/>
        </w:rPr>
        <w:t xml:space="preserve"> centroid µc </w:t>
      </w:r>
      <w:proofErr w:type="spellStart"/>
      <w:r>
        <w:rPr>
          <w:rFonts w:eastAsia="Times New Roman"/>
        </w:rPr>
        <w:t>minimises</w:t>
      </w:r>
      <w:proofErr w:type="spellEnd"/>
      <w:r>
        <w:rPr>
          <w:rFonts w:eastAsia="Times New Roman"/>
        </w:rPr>
        <w:t xml:space="preserve"> the squared Euclidean distance ∥xi − µci∥². This is a hard assignment: each sample belongs to exactly one cluster, with no notion of uncertainty or partial membership. GMM (Gaussian Mixture Model) takes a fundamentally different approach by modelling the data as a mixture of k multivariate Gaussian distributions: p(x) = </w:t>
      </w:r>
      <w:proofErr w:type="spellStart"/>
      <w:r>
        <w:rPr>
          <w:rFonts w:eastAsia="Times New Roman"/>
        </w:rPr>
        <w:t>Σ</w:t>
      </w:r>
      <w:r w:rsidRPr="00396953">
        <w:rPr>
          <w:rFonts w:eastAsia="Times New Roman"/>
          <w:vertAlign w:val="superscript"/>
        </w:rPr>
        <w:t>k</w:t>
      </w:r>
      <w:r w:rsidRPr="00396953">
        <w:rPr>
          <w:rFonts w:eastAsia="Times New Roman"/>
          <w:vertAlign w:val="subscript"/>
        </w:rPr>
        <w:t>j</w:t>
      </w:r>
      <w:proofErr w:type="spellEnd"/>
      <w:r w:rsidRPr="00396953">
        <w:rPr>
          <w:rFonts w:eastAsia="Times New Roman"/>
          <w:vertAlign w:val="subscript"/>
        </w:rPr>
        <w:t>=1</w:t>
      </w:r>
      <w:r w:rsidR="00396953">
        <w:rPr>
          <w:rFonts w:hint="eastAsia"/>
          <w:vertAlign w:val="subscript"/>
        </w:rPr>
        <w:t xml:space="preserve"> </w:t>
      </w:r>
      <w:r>
        <w:rPr>
          <w:rFonts w:eastAsia="Times New Roman"/>
        </w:rPr>
        <w:t>π</w:t>
      </w:r>
      <w:r w:rsidRPr="00396953">
        <w:rPr>
          <w:rFonts w:eastAsia="Times New Roman"/>
          <w:vertAlign w:val="subscript"/>
        </w:rPr>
        <w:t>j</w:t>
      </w:r>
      <w:r w:rsidR="00396953">
        <w:rPr>
          <w:rFonts w:hint="eastAsia"/>
          <w:vertAlign w:val="subscript"/>
        </w:rPr>
        <w:t xml:space="preserve"> </w:t>
      </w:r>
      <w:proofErr w:type="gramStart"/>
      <w:r>
        <w:rPr>
          <w:rFonts w:eastAsia="Times New Roman"/>
        </w:rPr>
        <w:t>N(</w:t>
      </w:r>
      <w:proofErr w:type="gramEnd"/>
      <w:r>
        <w:rPr>
          <w:rFonts w:eastAsia="Times New Roman"/>
        </w:rPr>
        <w:t>x | µ</w:t>
      </w:r>
      <w:r w:rsidRPr="00396953">
        <w:rPr>
          <w:rFonts w:eastAsia="Times New Roman"/>
          <w:vertAlign w:val="subscript"/>
        </w:rPr>
        <w:t>j</w:t>
      </w:r>
      <w:r>
        <w:rPr>
          <w:rFonts w:eastAsia="Times New Roman"/>
        </w:rPr>
        <w:t xml:space="preserve">, </w:t>
      </w:r>
      <w:proofErr w:type="spellStart"/>
      <w:r>
        <w:rPr>
          <w:rFonts w:eastAsia="Times New Roman"/>
        </w:rPr>
        <w:t>Σ</w:t>
      </w:r>
      <w:r w:rsidRPr="00396953">
        <w:rPr>
          <w:rFonts w:eastAsia="Times New Roman"/>
          <w:vertAlign w:val="subscript"/>
        </w:rPr>
        <w:t>j</w:t>
      </w:r>
      <w:proofErr w:type="spellEnd"/>
      <w:r>
        <w:rPr>
          <w:rFonts w:eastAsia="Times New Roman"/>
        </w:rPr>
        <w:t>), where π</w:t>
      </w:r>
      <w:r w:rsidRPr="00396953">
        <w:rPr>
          <w:rFonts w:eastAsia="Times New Roman"/>
          <w:vertAlign w:val="subscript"/>
        </w:rPr>
        <w:t>j</w:t>
      </w:r>
      <w:r>
        <w:rPr>
          <w:rFonts w:eastAsia="Times New Roman"/>
        </w:rPr>
        <w:t xml:space="preserve"> are the mixing proportions. Each sample receives a posterior probability </w:t>
      </w:r>
      <w:proofErr w:type="gramStart"/>
      <w:r>
        <w:rPr>
          <w:rFonts w:eastAsia="Times New Roman"/>
        </w:rPr>
        <w:t>p(</w:t>
      </w:r>
      <w:proofErr w:type="spellStart"/>
      <w:proofErr w:type="gramEnd"/>
      <w:r>
        <w:rPr>
          <w:rFonts w:eastAsia="Times New Roman"/>
        </w:rPr>
        <w:t>c</w:t>
      </w:r>
      <w:r w:rsidRPr="00396953">
        <w:rPr>
          <w:rFonts w:eastAsia="Times New Roman"/>
          <w:vertAlign w:val="subscript"/>
        </w:rPr>
        <w:t>j</w:t>
      </w:r>
      <w:proofErr w:type="spellEnd"/>
      <w:r w:rsidRPr="00396953">
        <w:rPr>
          <w:rFonts w:eastAsia="Times New Roman"/>
          <w:vertAlign w:val="subscript"/>
        </w:rPr>
        <w:t xml:space="preserve"> </w:t>
      </w:r>
      <w:r>
        <w:rPr>
          <w:rFonts w:eastAsia="Times New Roman"/>
        </w:rPr>
        <w:t>| x</w:t>
      </w:r>
      <w:r w:rsidRPr="00396953">
        <w:rPr>
          <w:rFonts w:eastAsia="Times New Roman"/>
          <w:vertAlign w:val="subscript"/>
        </w:rPr>
        <w:t>i</w:t>
      </w:r>
      <w:r>
        <w:rPr>
          <w:rFonts w:eastAsia="Times New Roman"/>
        </w:rPr>
        <w:t>) for every component, enabling soft assignment: a sample can belong partially to multiple clusters. For insurance risk, where applicant profiles naturally overlap across risk bands rather than forming isolated groups, soft assignment is more aligned with the domain.</w:t>
      </w:r>
    </w:p>
    <w:p w14:paraId="7ED40BB1" w14:textId="77777777" w:rsidR="008A6F2D" w:rsidRDefault="00000000">
      <w:r>
        <w:rPr>
          <w:rFonts w:eastAsia="Times New Roman"/>
        </w:rPr>
        <w:t>Table 2 reports the complete clustering results from outputs/tables/clustering_comparison.csv, covering k = 2 through k = 8. The columns are: k, K-Means inertia, K-Means silhouette score, GMM log-likelihood, GMM BIC, GMM AIC, and GMM silhouette score. K-Means silhouette scores remain low across the entire range, peaking at only 0.2015 at k = 8. This confirms that even the best K-Means configuration fails to find well-separated spherical clusters in this data. GMM achieves substantially higher silhouette scores: 0.4142 at k = 2 and 0.4015 at k = 5, which are roughly double the best K-Means values. At k = 2, the GMM silhouette of 0.4142 versus K-Means’s 0.1740 is particularly revealing: it suggests that the two-cluster structure in this insurance dataset is inherently probabilistic (overlapping Gaussian components) rather than discrete (centroid-defined).</w:t>
      </w:r>
    </w:p>
    <w:p w14:paraId="27D185BB" w14:textId="77777777" w:rsidR="008A6F2D" w:rsidRDefault="00000000">
      <w:pPr>
        <w:spacing w:before="50" w:after="70"/>
        <w:jc w:val="center"/>
      </w:pPr>
      <w:r>
        <w:rPr>
          <w:rFonts w:eastAsia="Times New Roman"/>
          <w:sz w:val="20"/>
          <w:szCs w:val="20"/>
        </w:rPr>
        <w:t>Table 2: Full clustering comparison across k = 2 to k =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8"/>
        <w:gridCol w:w="2277"/>
        <w:gridCol w:w="1626"/>
        <w:gridCol w:w="1952"/>
        <w:gridCol w:w="1952"/>
        <w:gridCol w:w="1301"/>
      </w:tblGrid>
      <w:tr w:rsidR="008A6F2D" w14:paraId="072B7738" w14:textId="77777777">
        <w:tblPrEx>
          <w:tblCellMar>
            <w:top w:w="0" w:type="dxa"/>
            <w:bottom w:w="0" w:type="dxa"/>
          </w:tblCellMar>
        </w:tblPrEx>
        <w:trPr>
          <w:cantSplit/>
        </w:trPr>
        <w:tc>
          <w:tcPr>
            <w:tcW w:w="700" w:type="dxa"/>
            <w:tcBorders>
              <w:top w:val="single" w:sz="4" w:space="0" w:color="000000"/>
              <w:left w:val="nil"/>
              <w:bottom w:val="single" w:sz="4" w:space="0" w:color="000000"/>
              <w:right w:val="nil"/>
            </w:tcBorders>
            <w:tcMar>
              <w:top w:w="35" w:type="dxa"/>
              <w:left w:w="50" w:type="dxa"/>
              <w:bottom w:w="35" w:type="dxa"/>
              <w:right w:w="50" w:type="dxa"/>
            </w:tcMar>
          </w:tcPr>
          <w:p w14:paraId="2C04174C" w14:textId="77777777" w:rsidR="008A6F2D" w:rsidRDefault="00000000">
            <w:pPr>
              <w:spacing w:after="0" w:line="220" w:lineRule="auto"/>
              <w:jc w:val="center"/>
            </w:pPr>
            <w:r>
              <w:rPr>
                <w:rFonts w:eastAsia="Times New Roman"/>
                <w:b/>
                <w:bCs/>
                <w:sz w:val="19"/>
                <w:szCs w:val="19"/>
              </w:rPr>
              <w:t>k</w:t>
            </w:r>
          </w:p>
        </w:tc>
        <w:tc>
          <w:tcPr>
            <w:tcW w:w="2100" w:type="dxa"/>
            <w:tcBorders>
              <w:top w:val="single" w:sz="4" w:space="0" w:color="000000"/>
              <w:left w:val="nil"/>
              <w:bottom w:val="single" w:sz="4" w:space="0" w:color="000000"/>
              <w:right w:val="nil"/>
            </w:tcBorders>
            <w:tcMar>
              <w:top w:w="35" w:type="dxa"/>
              <w:left w:w="50" w:type="dxa"/>
              <w:bottom w:w="35" w:type="dxa"/>
              <w:right w:w="50" w:type="dxa"/>
            </w:tcMar>
          </w:tcPr>
          <w:p w14:paraId="33FE9993" w14:textId="77777777" w:rsidR="008A6F2D" w:rsidRDefault="00000000">
            <w:pPr>
              <w:spacing w:after="0" w:line="220" w:lineRule="auto"/>
              <w:jc w:val="center"/>
            </w:pPr>
            <w:r>
              <w:rPr>
                <w:rFonts w:eastAsia="Times New Roman"/>
                <w:b/>
                <w:bCs/>
                <w:sz w:val="19"/>
                <w:szCs w:val="19"/>
              </w:rPr>
              <w:t>K-Means Inertia</w:t>
            </w:r>
          </w:p>
        </w:tc>
        <w:tc>
          <w:tcPr>
            <w:tcW w:w="1500" w:type="dxa"/>
            <w:tcBorders>
              <w:top w:val="single" w:sz="4" w:space="0" w:color="000000"/>
              <w:left w:val="nil"/>
              <w:bottom w:val="single" w:sz="4" w:space="0" w:color="000000"/>
              <w:right w:val="nil"/>
            </w:tcBorders>
            <w:tcMar>
              <w:top w:w="35" w:type="dxa"/>
              <w:left w:w="50" w:type="dxa"/>
              <w:bottom w:w="35" w:type="dxa"/>
              <w:right w:w="50" w:type="dxa"/>
            </w:tcMar>
          </w:tcPr>
          <w:p w14:paraId="49566382" w14:textId="77777777" w:rsidR="008A6F2D" w:rsidRDefault="00000000">
            <w:pPr>
              <w:spacing w:after="0" w:line="220" w:lineRule="auto"/>
              <w:jc w:val="center"/>
            </w:pPr>
            <w:r>
              <w:rPr>
                <w:rFonts w:eastAsia="Times New Roman"/>
                <w:b/>
                <w:bCs/>
                <w:sz w:val="19"/>
                <w:szCs w:val="19"/>
              </w:rPr>
              <w:t>K-Means Sil</w:t>
            </w:r>
          </w:p>
        </w:tc>
        <w:tc>
          <w:tcPr>
            <w:tcW w:w="1800" w:type="dxa"/>
            <w:tcBorders>
              <w:top w:val="single" w:sz="4" w:space="0" w:color="000000"/>
              <w:left w:val="nil"/>
              <w:bottom w:val="single" w:sz="4" w:space="0" w:color="000000"/>
              <w:right w:val="nil"/>
            </w:tcBorders>
            <w:tcMar>
              <w:top w:w="35" w:type="dxa"/>
              <w:left w:w="50" w:type="dxa"/>
              <w:bottom w:w="35" w:type="dxa"/>
              <w:right w:w="50" w:type="dxa"/>
            </w:tcMar>
          </w:tcPr>
          <w:p w14:paraId="12345A88" w14:textId="77777777" w:rsidR="008A6F2D" w:rsidRDefault="00000000">
            <w:pPr>
              <w:spacing w:after="0" w:line="220" w:lineRule="auto"/>
              <w:jc w:val="center"/>
            </w:pPr>
            <w:r>
              <w:rPr>
                <w:rFonts w:eastAsia="Times New Roman"/>
                <w:b/>
                <w:bCs/>
                <w:sz w:val="19"/>
                <w:szCs w:val="19"/>
              </w:rPr>
              <w:t>GMM BIC</w:t>
            </w:r>
          </w:p>
        </w:tc>
        <w:tc>
          <w:tcPr>
            <w:tcW w:w="1800" w:type="dxa"/>
            <w:tcBorders>
              <w:top w:val="single" w:sz="4" w:space="0" w:color="000000"/>
              <w:left w:val="nil"/>
              <w:bottom w:val="single" w:sz="4" w:space="0" w:color="000000"/>
              <w:right w:val="nil"/>
            </w:tcBorders>
            <w:tcMar>
              <w:top w:w="35" w:type="dxa"/>
              <w:left w:w="50" w:type="dxa"/>
              <w:bottom w:w="35" w:type="dxa"/>
              <w:right w:w="50" w:type="dxa"/>
            </w:tcMar>
          </w:tcPr>
          <w:p w14:paraId="7D81C0E2" w14:textId="77777777" w:rsidR="008A6F2D" w:rsidRDefault="00000000">
            <w:pPr>
              <w:spacing w:after="0" w:line="220" w:lineRule="auto"/>
              <w:jc w:val="center"/>
            </w:pPr>
            <w:r>
              <w:rPr>
                <w:rFonts w:eastAsia="Times New Roman"/>
                <w:b/>
                <w:bCs/>
                <w:sz w:val="19"/>
                <w:szCs w:val="19"/>
              </w:rPr>
              <w:t>GMM AIC</w:t>
            </w:r>
          </w:p>
        </w:tc>
        <w:tc>
          <w:tcPr>
            <w:tcW w:w="1200" w:type="dxa"/>
            <w:tcBorders>
              <w:top w:val="single" w:sz="4" w:space="0" w:color="000000"/>
              <w:left w:val="nil"/>
              <w:bottom w:val="single" w:sz="4" w:space="0" w:color="000000"/>
              <w:right w:val="nil"/>
            </w:tcBorders>
            <w:tcMar>
              <w:top w:w="35" w:type="dxa"/>
              <w:left w:w="50" w:type="dxa"/>
              <w:bottom w:w="35" w:type="dxa"/>
              <w:right w:w="50" w:type="dxa"/>
            </w:tcMar>
          </w:tcPr>
          <w:p w14:paraId="75D1A81E" w14:textId="77777777" w:rsidR="008A6F2D" w:rsidRDefault="00000000">
            <w:pPr>
              <w:spacing w:after="0" w:line="220" w:lineRule="auto"/>
              <w:jc w:val="center"/>
            </w:pPr>
            <w:r>
              <w:rPr>
                <w:rFonts w:eastAsia="Times New Roman"/>
                <w:b/>
                <w:bCs/>
                <w:sz w:val="19"/>
                <w:szCs w:val="19"/>
              </w:rPr>
              <w:t>GMM Sil</w:t>
            </w:r>
          </w:p>
        </w:tc>
      </w:tr>
      <w:tr w:rsidR="008A6F2D" w14:paraId="684CD525" w14:textId="77777777">
        <w:tblPrEx>
          <w:tblCellMar>
            <w:top w:w="0" w:type="dxa"/>
            <w:bottom w:w="0" w:type="dxa"/>
          </w:tblCellMar>
        </w:tblPrEx>
        <w:trPr>
          <w:cantSplit/>
        </w:trPr>
        <w:tc>
          <w:tcPr>
            <w:tcW w:w="700" w:type="dxa"/>
            <w:tcBorders>
              <w:top w:val="nil"/>
              <w:left w:val="nil"/>
              <w:bottom w:val="nil"/>
              <w:right w:val="nil"/>
            </w:tcBorders>
            <w:tcMar>
              <w:top w:w="35" w:type="dxa"/>
              <w:left w:w="50" w:type="dxa"/>
              <w:bottom w:w="35" w:type="dxa"/>
              <w:right w:w="50" w:type="dxa"/>
            </w:tcMar>
          </w:tcPr>
          <w:p w14:paraId="29895D9C" w14:textId="77777777" w:rsidR="008A6F2D" w:rsidRDefault="00000000">
            <w:pPr>
              <w:spacing w:after="0" w:line="220" w:lineRule="auto"/>
              <w:jc w:val="left"/>
            </w:pPr>
            <w:r>
              <w:rPr>
                <w:rFonts w:eastAsia="Times New Roman"/>
                <w:sz w:val="18"/>
                <w:szCs w:val="18"/>
              </w:rPr>
              <w:t>2</w:t>
            </w:r>
          </w:p>
        </w:tc>
        <w:tc>
          <w:tcPr>
            <w:tcW w:w="2100" w:type="dxa"/>
            <w:tcBorders>
              <w:top w:val="nil"/>
              <w:left w:val="nil"/>
              <w:bottom w:val="nil"/>
              <w:right w:val="nil"/>
            </w:tcBorders>
            <w:tcMar>
              <w:top w:w="35" w:type="dxa"/>
              <w:left w:w="50" w:type="dxa"/>
              <w:bottom w:w="35" w:type="dxa"/>
              <w:right w:w="50" w:type="dxa"/>
            </w:tcMar>
          </w:tcPr>
          <w:p w14:paraId="15D90157" w14:textId="77777777" w:rsidR="008A6F2D" w:rsidRDefault="00000000">
            <w:pPr>
              <w:spacing w:after="0" w:line="220" w:lineRule="auto"/>
              <w:jc w:val="center"/>
            </w:pPr>
            <w:r>
              <w:rPr>
                <w:rFonts w:eastAsia="Times New Roman"/>
                <w:sz w:val="18"/>
                <w:szCs w:val="18"/>
              </w:rPr>
              <w:t>1,092,962</w:t>
            </w:r>
          </w:p>
        </w:tc>
        <w:tc>
          <w:tcPr>
            <w:tcW w:w="1500" w:type="dxa"/>
            <w:tcBorders>
              <w:top w:val="nil"/>
              <w:left w:val="nil"/>
              <w:bottom w:val="nil"/>
              <w:right w:val="nil"/>
            </w:tcBorders>
            <w:tcMar>
              <w:top w:w="35" w:type="dxa"/>
              <w:left w:w="50" w:type="dxa"/>
              <w:bottom w:w="35" w:type="dxa"/>
              <w:right w:w="50" w:type="dxa"/>
            </w:tcMar>
          </w:tcPr>
          <w:p w14:paraId="41152E03" w14:textId="77777777" w:rsidR="008A6F2D" w:rsidRDefault="00000000">
            <w:pPr>
              <w:spacing w:after="0" w:line="220" w:lineRule="auto"/>
              <w:jc w:val="center"/>
            </w:pPr>
            <w:r>
              <w:rPr>
                <w:rFonts w:eastAsia="Times New Roman"/>
                <w:sz w:val="18"/>
                <w:szCs w:val="18"/>
              </w:rPr>
              <w:t>0.1740</w:t>
            </w:r>
          </w:p>
        </w:tc>
        <w:tc>
          <w:tcPr>
            <w:tcW w:w="1800" w:type="dxa"/>
            <w:tcBorders>
              <w:top w:val="nil"/>
              <w:left w:val="nil"/>
              <w:bottom w:val="nil"/>
              <w:right w:val="nil"/>
            </w:tcBorders>
            <w:tcMar>
              <w:top w:w="35" w:type="dxa"/>
              <w:left w:w="50" w:type="dxa"/>
              <w:bottom w:w="35" w:type="dxa"/>
              <w:right w:w="50" w:type="dxa"/>
            </w:tcMar>
          </w:tcPr>
          <w:p w14:paraId="649306E6" w14:textId="77777777" w:rsidR="008A6F2D" w:rsidRDefault="00000000">
            <w:pPr>
              <w:spacing w:after="0" w:line="220" w:lineRule="auto"/>
              <w:jc w:val="center"/>
            </w:pPr>
            <w:r>
              <w:rPr>
                <w:rFonts w:eastAsia="Times New Roman"/>
                <w:sz w:val="18"/>
                <w:szCs w:val="18"/>
              </w:rPr>
              <w:t>−359,251</w:t>
            </w:r>
          </w:p>
        </w:tc>
        <w:tc>
          <w:tcPr>
            <w:tcW w:w="1800" w:type="dxa"/>
            <w:tcBorders>
              <w:top w:val="nil"/>
              <w:left w:val="nil"/>
              <w:bottom w:val="nil"/>
              <w:right w:val="nil"/>
            </w:tcBorders>
            <w:tcMar>
              <w:top w:w="35" w:type="dxa"/>
              <w:left w:w="50" w:type="dxa"/>
              <w:bottom w:w="35" w:type="dxa"/>
              <w:right w:w="50" w:type="dxa"/>
            </w:tcMar>
          </w:tcPr>
          <w:p w14:paraId="777C8F47" w14:textId="77777777" w:rsidR="008A6F2D" w:rsidRDefault="00000000">
            <w:pPr>
              <w:spacing w:after="0" w:line="220" w:lineRule="auto"/>
              <w:jc w:val="center"/>
            </w:pPr>
            <w:r>
              <w:rPr>
                <w:rFonts w:eastAsia="Times New Roman"/>
                <w:sz w:val="18"/>
                <w:szCs w:val="18"/>
              </w:rPr>
              <w:t>−362,062</w:t>
            </w:r>
          </w:p>
        </w:tc>
        <w:tc>
          <w:tcPr>
            <w:tcW w:w="1200" w:type="dxa"/>
            <w:tcBorders>
              <w:top w:val="nil"/>
              <w:left w:val="nil"/>
              <w:bottom w:val="nil"/>
              <w:right w:val="nil"/>
            </w:tcBorders>
            <w:tcMar>
              <w:top w:w="35" w:type="dxa"/>
              <w:left w:w="50" w:type="dxa"/>
              <w:bottom w:w="35" w:type="dxa"/>
              <w:right w:w="50" w:type="dxa"/>
            </w:tcMar>
          </w:tcPr>
          <w:p w14:paraId="00917BF3" w14:textId="77777777" w:rsidR="008A6F2D" w:rsidRDefault="00000000">
            <w:pPr>
              <w:spacing w:after="0" w:line="220" w:lineRule="auto"/>
              <w:jc w:val="center"/>
            </w:pPr>
            <w:r>
              <w:rPr>
                <w:rFonts w:eastAsia="Times New Roman"/>
                <w:sz w:val="18"/>
                <w:szCs w:val="18"/>
              </w:rPr>
              <w:t>0.4142</w:t>
            </w:r>
          </w:p>
        </w:tc>
      </w:tr>
      <w:tr w:rsidR="008A6F2D" w14:paraId="00E62C51" w14:textId="77777777">
        <w:tblPrEx>
          <w:tblCellMar>
            <w:top w:w="0" w:type="dxa"/>
            <w:bottom w:w="0" w:type="dxa"/>
          </w:tblCellMar>
        </w:tblPrEx>
        <w:trPr>
          <w:cantSplit/>
        </w:trPr>
        <w:tc>
          <w:tcPr>
            <w:tcW w:w="700" w:type="dxa"/>
            <w:tcBorders>
              <w:top w:val="nil"/>
              <w:left w:val="nil"/>
              <w:bottom w:val="nil"/>
              <w:right w:val="nil"/>
            </w:tcBorders>
            <w:tcMar>
              <w:top w:w="35" w:type="dxa"/>
              <w:left w:w="50" w:type="dxa"/>
              <w:bottom w:w="35" w:type="dxa"/>
              <w:right w:w="50" w:type="dxa"/>
            </w:tcMar>
          </w:tcPr>
          <w:p w14:paraId="6699CB4D" w14:textId="77777777" w:rsidR="008A6F2D" w:rsidRDefault="00000000">
            <w:pPr>
              <w:spacing w:after="0" w:line="220" w:lineRule="auto"/>
              <w:jc w:val="left"/>
            </w:pPr>
            <w:r>
              <w:rPr>
                <w:rFonts w:eastAsia="Times New Roman"/>
                <w:sz w:val="18"/>
                <w:szCs w:val="18"/>
              </w:rPr>
              <w:t>3</w:t>
            </w:r>
          </w:p>
        </w:tc>
        <w:tc>
          <w:tcPr>
            <w:tcW w:w="2100" w:type="dxa"/>
            <w:tcBorders>
              <w:top w:val="nil"/>
              <w:left w:val="nil"/>
              <w:bottom w:val="nil"/>
              <w:right w:val="nil"/>
            </w:tcBorders>
            <w:tcMar>
              <w:top w:w="35" w:type="dxa"/>
              <w:left w:w="50" w:type="dxa"/>
              <w:bottom w:w="35" w:type="dxa"/>
              <w:right w:w="50" w:type="dxa"/>
            </w:tcMar>
          </w:tcPr>
          <w:p w14:paraId="35192CA1" w14:textId="77777777" w:rsidR="008A6F2D" w:rsidRDefault="00000000">
            <w:pPr>
              <w:spacing w:after="0" w:line="220" w:lineRule="auto"/>
              <w:jc w:val="center"/>
            </w:pPr>
            <w:r>
              <w:rPr>
                <w:rFonts w:eastAsia="Times New Roman"/>
                <w:sz w:val="18"/>
                <w:szCs w:val="18"/>
              </w:rPr>
              <w:t>1,018,587</w:t>
            </w:r>
          </w:p>
        </w:tc>
        <w:tc>
          <w:tcPr>
            <w:tcW w:w="1500" w:type="dxa"/>
            <w:tcBorders>
              <w:top w:val="nil"/>
              <w:left w:val="nil"/>
              <w:bottom w:val="nil"/>
              <w:right w:val="nil"/>
            </w:tcBorders>
            <w:tcMar>
              <w:top w:w="35" w:type="dxa"/>
              <w:left w:w="50" w:type="dxa"/>
              <w:bottom w:w="35" w:type="dxa"/>
              <w:right w:w="50" w:type="dxa"/>
            </w:tcMar>
          </w:tcPr>
          <w:p w14:paraId="21D1E64B" w14:textId="77777777" w:rsidR="008A6F2D" w:rsidRDefault="00000000">
            <w:pPr>
              <w:spacing w:after="0" w:line="220" w:lineRule="auto"/>
              <w:jc w:val="center"/>
            </w:pPr>
            <w:r>
              <w:rPr>
                <w:rFonts w:eastAsia="Times New Roman"/>
                <w:sz w:val="18"/>
                <w:szCs w:val="18"/>
              </w:rPr>
              <w:t>0.1732</w:t>
            </w:r>
          </w:p>
        </w:tc>
        <w:tc>
          <w:tcPr>
            <w:tcW w:w="1800" w:type="dxa"/>
            <w:tcBorders>
              <w:top w:val="nil"/>
              <w:left w:val="nil"/>
              <w:bottom w:val="nil"/>
              <w:right w:val="nil"/>
            </w:tcBorders>
            <w:tcMar>
              <w:top w:w="35" w:type="dxa"/>
              <w:left w:w="50" w:type="dxa"/>
              <w:bottom w:w="35" w:type="dxa"/>
              <w:right w:w="50" w:type="dxa"/>
            </w:tcMar>
          </w:tcPr>
          <w:p w14:paraId="0C7CA1DE" w14:textId="77777777" w:rsidR="008A6F2D" w:rsidRDefault="00000000">
            <w:pPr>
              <w:spacing w:after="0" w:line="220" w:lineRule="auto"/>
              <w:jc w:val="center"/>
            </w:pPr>
            <w:r>
              <w:rPr>
                <w:rFonts w:eastAsia="Times New Roman"/>
                <w:sz w:val="18"/>
                <w:szCs w:val="18"/>
              </w:rPr>
              <w:t>−1,103,445</w:t>
            </w:r>
          </w:p>
        </w:tc>
        <w:tc>
          <w:tcPr>
            <w:tcW w:w="1800" w:type="dxa"/>
            <w:tcBorders>
              <w:top w:val="nil"/>
              <w:left w:val="nil"/>
              <w:bottom w:val="nil"/>
              <w:right w:val="nil"/>
            </w:tcBorders>
            <w:tcMar>
              <w:top w:w="35" w:type="dxa"/>
              <w:left w:w="50" w:type="dxa"/>
              <w:bottom w:w="35" w:type="dxa"/>
              <w:right w:w="50" w:type="dxa"/>
            </w:tcMar>
          </w:tcPr>
          <w:p w14:paraId="245A743A" w14:textId="77777777" w:rsidR="008A6F2D" w:rsidRDefault="00000000">
            <w:pPr>
              <w:spacing w:after="0" w:line="220" w:lineRule="auto"/>
              <w:jc w:val="center"/>
            </w:pPr>
            <w:r>
              <w:rPr>
                <w:rFonts w:eastAsia="Times New Roman"/>
                <w:sz w:val="18"/>
                <w:szCs w:val="18"/>
              </w:rPr>
              <w:t>−1,107,666</w:t>
            </w:r>
          </w:p>
        </w:tc>
        <w:tc>
          <w:tcPr>
            <w:tcW w:w="1200" w:type="dxa"/>
            <w:tcBorders>
              <w:top w:val="nil"/>
              <w:left w:val="nil"/>
              <w:bottom w:val="nil"/>
              <w:right w:val="nil"/>
            </w:tcBorders>
            <w:tcMar>
              <w:top w:w="35" w:type="dxa"/>
              <w:left w:w="50" w:type="dxa"/>
              <w:bottom w:w="35" w:type="dxa"/>
              <w:right w:w="50" w:type="dxa"/>
            </w:tcMar>
          </w:tcPr>
          <w:p w14:paraId="3D299FD9" w14:textId="77777777" w:rsidR="008A6F2D" w:rsidRDefault="00000000">
            <w:pPr>
              <w:spacing w:after="0" w:line="220" w:lineRule="auto"/>
              <w:jc w:val="center"/>
            </w:pPr>
            <w:r>
              <w:rPr>
                <w:rFonts w:eastAsia="Times New Roman"/>
                <w:sz w:val="18"/>
                <w:szCs w:val="18"/>
              </w:rPr>
              <w:t>0.2977</w:t>
            </w:r>
          </w:p>
        </w:tc>
      </w:tr>
      <w:tr w:rsidR="008A6F2D" w14:paraId="267B47AF" w14:textId="77777777">
        <w:tblPrEx>
          <w:tblCellMar>
            <w:top w:w="0" w:type="dxa"/>
            <w:bottom w:w="0" w:type="dxa"/>
          </w:tblCellMar>
        </w:tblPrEx>
        <w:trPr>
          <w:cantSplit/>
        </w:trPr>
        <w:tc>
          <w:tcPr>
            <w:tcW w:w="700" w:type="dxa"/>
            <w:tcBorders>
              <w:top w:val="nil"/>
              <w:left w:val="nil"/>
              <w:bottom w:val="nil"/>
              <w:right w:val="nil"/>
            </w:tcBorders>
            <w:tcMar>
              <w:top w:w="35" w:type="dxa"/>
              <w:left w:w="50" w:type="dxa"/>
              <w:bottom w:w="35" w:type="dxa"/>
              <w:right w:w="50" w:type="dxa"/>
            </w:tcMar>
          </w:tcPr>
          <w:p w14:paraId="193EC2CB" w14:textId="77777777" w:rsidR="008A6F2D" w:rsidRDefault="00000000">
            <w:pPr>
              <w:spacing w:after="0" w:line="220" w:lineRule="auto"/>
              <w:jc w:val="left"/>
            </w:pPr>
            <w:r>
              <w:rPr>
                <w:rFonts w:eastAsia="Times New Roman"/>
                <w:sz w:val="18"/>
                <w:szCs w:val="18"/>
              </w:rPr>
              <w:t>4</w:t>
            </w:r>
          </w:p>
        </w:tc>
        <w:tc>
          <w:tcPr>
            <w:tcW w:w="2100" w:type="dxa"/>
            <w:tcBorders>
              <w:top w:val="nil"/>
              <w:left w:val="nil"/>
              <w:bottom w:val="nil"/>
              <w:right w:val="nil"/>
            </w:tcBorders>
            <w:tcMar>
              <w:top w:w="35" w:type="dxa"/>
              <w:left w:w="50" w:type="dxa"/>
              <w:bottom w:w="35" w:type="dxa"/>
              <w:right w:w="50" w:type="dxa"/>
            </w:tcMar>
          </w:tcPr>
          <w:p w14:paraId="17C3B566" w14:textId="77777777" w:rsidR="008A6F2D" w:rsidRDefault="00000000">
            <w:pPr>
              <w:spacing w:after="0" w:line="220" w:lineRule="auto"/>
              <w:jc w:val="center"/>
            </w:pPr>
            <w:r>
              <w:rPr>
                <w:rFonts w:eastAsia="Times New Roman"/>
                <w:sz w:val="18"/>
                <w:szCs w:val="18"/>
              </w:rPr>
              <w:t>953,249</w:t>
            </w:r>
          </w:p>
        </w:tc>
        <w:tc>
          <w:tcPr>
            <w:tcW w:w="1500" w:type="dxa"/>
            <w:tcBorders>
              <w:top w:val="nil"/>
              <w:left w:val="nil"/>
              <w:bottom w:val="nil"/>
              <w:right w:val="nil"/>
            </w:tcBorders>
            <w:tcMar>
              <w:top w:w="35" w:type="dxa"/>
              <w:left w:w="50" w:type="dxa"/>
              <w:bottom w:w="35" w:type="dxa"/>
              <w:right w:w="50" w:type="dxa"/>
            </w:tcMar>
          </w:tcPr>
          <w:p w14:paraId="4A12CC41" w14:textId="77777777" w:rsidR="008A6F2D" w:rsidRDefault="00000000">
            <w:pPr>
              <w:spacing w:after="0" w:line="220" w:lineRule="auto"/>
              <w:jc w:val="center"/>
            </w:pPr>
            <w:r>
              <w:rPr>
                <w:rFonts w:eastAsia="Times New Roman"/>
                <w:sz w:val="18"/>
                <w:szCs w:val="18"/>
              </w:rPr>
              <w:t>0.1808</w:t>
            </w:r>
          </w:p>
        </w:tc>
        <w:tc>
          <w:tcPr>
            <w:tcW w:w="1800" w:type="dxa"/>
            <w:tcBorders>
              <w:top w:val="nil"/>
              <w:left w:val="nil"/>
              <w:bottom w:val="nil"/>
              <w:right w:val="nil"/>
            </w:tcBorders>
            <w:tcMar>
              <w:top w:w="35" w:type="dxa"/>
              <w:left w:w="50" w:type="dxa"/>
              <w:bottom w:w="35" w:type="dxa"/>
              <w:right w:w="50" w:type="dxa"/>
            </w:tcMar>
          </w:tcPr>
          <w:p w14:paraId="4E32B2AA" w14:textId="77777777" w:rsidR="008A6F2D" w:rsidRDefault="00000000">
            <w:pPr>
              <w:spacing w:after="0" w:line="220" w:lineRule="auto"/>
              <w:jc w:val="center"/>
            </w:pPr>
            <w:r>
              <w:rPr>
                <w:rFonts w:eastAsia="Times New Roman"/>
                <w:sz w:val="18"/>
                <w:szCs w:val="18"/>
              </w:rPr>
              <w:t>−1,938,815</w:t>
            </w:r>
          </w:p>
        </w:tc>
        <w:tc>
          <w:tcPr>
            <w:tcW w:w="1800" w:type="dxa"/>
            <w:tcBorders>
              <w:top w:val="nil"/>
              <w:left w:val="nil"/>
              <w:bottom w:val="nil"/>
              <w:right w:val="nil"/>
            </w:tcBorders>
            <w:tcMar>
              <w:top w:w="35" w:type="dxa"/>
              <w:left w:w="50" w:type="dxa"/>
              <w:bottom w:w="35" w:type="dxa"/>
              <w:right w:w="50" w:type="dxa"/>
            </w:tcMar>
          </w:tcPr>
          <w:p w14:paraId="09FD0C36" w14:textId="77777777" w:rsidR="008A6F2D" w:rsidRDefault="00000000">
            <w:pPr>
              <w:spacing w:after="0" w:line="220" w:lineRule="auto"/>
              <w:jc w:val="center"/>
            </w:pPr>
            <w:r>
              <w:rPr>
                <w:rFonts w:eastAsia="Times New Roman"/>
                <w:sz w:val="18"/>
                <w:szCs w:val="18"/>
              </w:rPr>
              <w:t>−1,944,446</w:t>
            </w:r>
          </w:p>
        </w:tc>
        <w:tc>
          <w:tcPr>
            <w:tcW w:w="1200" w:type="dxa"/>
            <w:tcBorders>
              <w:top w:val="nil"/>
              <w:left w:val="nil"/>
              <w:bottom w:val="nil"/>
              <w:right w:val="nil"/>
            </w:tcBorders>
            <w:tcMar>
              <w:top w:w="35" w:type="dxa"/>
              <w:left w:w="50" w:type="dxa"/>
              <w:bottom w:w="35" w:type="dxa"/>
              <w:right w:w="50" w:type="dxa"/>
            </w:tcMar>
          </w:tcPr>
          <w:p w14:paraId="4BCA2F09" w14:textId="77777777" w:rsidR="008A6F2D" w:rsidRDefault="00000000">
            <w:pPr>
              <w:spacing w:after="0" w:line="220" w:lineRule="auto"/>
              <w:jc w:val="center"/>
            </w:pPr>
            <w:r>
              <w:rPr>
                <w:rFonts w:eastAsia="Times New Roman"/>
                <w:sz w:val="18"/>
                <w:szCs w:val="18"/>
              </w:rPr>
              <w:t>0.3964</w:t>
            </w:r>
          </w:p>
        </w:tc>
      </w:tr>
      <w:tr w:rsidR="008A6F2D" w14:paraId="4245114A" w14:textId="77777777">
        <w:tblPrEx>
          <w:tblCellMar>
            <w:top w:w="0" w:type="dxa"/>
            <w:bottom w:w="0" w:type="dxa"/>
          </w:tblCellMar>
        </w:tblPrEx>
        <w:trPr>
          <w:cantSplit/>
        </w:trPr>
        <w:tc>
          <w:tcPr>
            <w:tcW w:w="700" w:type="dxa"/>
            <w:tcBorders>
              <w:top w:val="nil"/>
              <w:left w:val="nil"/>
              <w:bottom w:val="nil"/>
              <w:right w:val="nil"/>
            </w:tcBorders>
            <w:tcMar>
              <w:top w:w="35" w:type="dxa"/>
              <w:left w:w="50" w:type="dxa"/>
              <w:bottom w:w="35" w:type="dxa"/>
              <w:right w:w="50" w:type="dxa"/>
            </w:tcMar>
          </w:tcPr>
          <w:p w14:paraId="6279CF20" w14:textId="77777777" w:rsidR="008A6F2D" w:rsidRDefault="00000000">
            <w:pPr>
              <w:spacing w:after="0" w:line="220" w:lineRule="auto"/>
              <w:jc w:val="left"/>
            </w:pPr>
            <w:r>
              <w:rPr>
                <w:rFonts w:eastAsia="Times New Roman"/>
                <w:sz w:val="18"/>
                <w:szCs w:val="18"/>
              </w:rPr>
              <w:t>5</w:t>
            </w:r>
          </w:p>
        </w:tc>
        <w:tc>
          <w:tcPr>
            <w:tcW w:w="2100" w:type="dxa"/>
            <w:tcBorders>
              <w:top w:val="nil"/>
              <w:left w:val="nil"/>
              <w:bottom w:val="nil"/>
              <w:right w:val="nil"/>
            </w:tcBorders>
            <w:tcMar>
              <w:top w:w="35" w:type="dxa"/>
              <w:left w:w="50" w:type="dxa"/>
              <w:bottom w:w="35" w:type="dxa"/>
              <w:right w:w="50" w:type="dxa"/>
            </w:tcMar>
          </w:tcPr>
          <w:p w14:paraId="760BF48F" w14:textId="77777777" w:rsidR="008A6F2D" w:rsidRDefault="00000000">
            <w:pPr>
              <w:spacing w:after="0" w:line="220" w:lineRule="auto"/>
              <w:jc w:val="center"/>
            </w:pPr>
            <w:r>
              <w:rPr>
                <w:rFonts w:eastAsia="Times New Roman"/>
                <w:sz w:val="18"/>
                <w:szCs w:val="18"/>
              </w:rPr>
              <w:t>889,285</w:t>
            </w:r>
          </w:p>
        </w:tc>
        <w:tc>
          <w:tcPr>
            <w:tcW w:w="1500" w:type="dxa"/>
            <w:tcBorders>
              <w:top w:val="nil"/>
              <w:left w:val="nil"/>
              <w:bottom w:val="nil"/>
              <w:right w:val="nil"/>
            </w:tcBorders>
            <w:tcMar>
              <w:top w:w="35" w:type="dxa"/>
              <w:left w:w="50" w:type="dxa"/>
              <w:bottom w:w="35" w:type="dxa"/>
              <w:right w:w="50" w:type="dxa"/>
            </w:tcMar>
          </w:tcPr>
          <w:p w14:paraId="43B20E68" w14:textId="77777777" w:rsidR="008A6F2D" w:rsidRDefault="00000000">
            <w:pPr>
              <w:spacing w:after="0" w:line="220" w:lineRule="auto"/>
              <w:jc w:val="center"/>
            </w:pPr>
            <w:r>
              <w:rPr>
                <w:rFonts w:eastAsia="Times New Roman"/>
                <w:sz w:val="18"/>
                <w:szCs w:val="18"/>
              </w:rPr>
              <w:t>0.1964</w:t>
            </w:r>
          </w:p>
        </w:tc>
        <w:tc>
          <w:tcPr>
            <w:tcW w:w="1800" w:type="dxa"/>
            <w:tcBorders>
              <w:top w:val="nil"/>
              <w:left w:val="nil"/>
              <w:bottom w:val="nil"/>
              <w:right w:val="nil"/>
            </w:tcBorders>
            <w:tcMar>
              <w:top w:w="35" w:type="dxa"/>
              <w:left w:w="50" w:type="dxa"/>
              <w:bottom w:w="35" w:type="dxa"/>
              <w:right w:w="50" w:type="dxa"/>
            </w:tcMar>
          </w:tcPr>
          <w:p w14:paraId="20DF7A62" w14:textId="77777777" w:rsidR="008A6F2D" w:rsidRDefault="00000000">
            <w:pPr>
              <w:spacing w:after="0" w:line="220" w:lineRule="auto"/>
              <w:jc w:val="center"/>
            </w:pPr>
            <w:r>
              <w:rPr>
                <w:rFonts w:eastAsia="Times New Roman"/>
                <w:sz w:val="18"/>
                <w:szCs w:val="18"/>
              </w:rPr>
              <w:t>−1,997,256</w:t>
            </w:r>
          </w:p>
        </w:tc>
        <w:tc>
          <w:tcPr>
            <w:tcW w:w="1800" w:type="dxa"/>
            <w:tcBorders>
              <w:top w:val="nil"/>
              <w:left w:val="nil"/>
              <w:bottom w:val="nil"/>
              <w:right w:val="nil"/>
            </w:tcBorders>
            <w:tcMar>
              <w:top w:w="35" w:type="dxa"/>
              <w:left w:w="50" w:type="dxa"/>
              <w:bottom w:w="35" w:type="dxa"/>
              <w:right w:w="50" w:type="dxa"/>
            </w:tcMar>
          </w:tcPr>
          <w:p w14:paraId="3866C9D5" w14:textId="77777777" w:rsidR="008A6F2D" w:rsidRDefault="00000000">
            <w:pPr>
              <w:spacing w:after="0" w:line="220" w:lineRule="auto"/>
              <w:jc w:val="center"/>
            </w:pPr>
            <w:r>
              <w:rPr>
                <w:rFonts w:eastAsia="Times New Roman"/>
                <w:sz w:val="18"/>
                <w:szCs w:val="18"/>
              </w:rPr>
              <w:t>−2,004,298</w:t>
            </w:r>
          </w:p>
        </w:tc>
        <w:tc>
          <w:tcPr>
            <w:tcW w:w="1200" w:type="dxa"/>
            <w:tcBorders>
              <w:top w:val="nil"/>
              <w:left w:val="nil"/>
              <w:bottom w:val="nil"/>
              <w:right w:val="nil"/>
            </w:tcBorders>
            <w:tcMar>
              <w:top w:w="35" w:type="dxa"/>
              <w:left w:w="50" w:type="dxa"/>
              <w:bottom w:w="35" w:type="dxa"/>
              <w:right w:w="50" w:type="dxa"/>
            </w:tcMar>
          </w:tcPr>
          <w:p w14:paraId="5A59CE1D" w14:textId="77777777" w:rsidR="008A6F2D" w:rsidRDefault="00000000">
            <w:pPr>
              <w:spacing w:after="0" w:line="220" w:lineRule="auto"/>
              <w:jc w:val="center"/>
            </w:pPr>
            <w:r>
              <w:rPr>
                <w:rFonts w:eastAsia="Times New Roman"/>
                <w:sz w:val="18"/>
                <w:szCs w:val="18"/>
              </w:rPr>
              <w:t>0.4015</w:t>
            </w:r>
          </w:p>
        </w:tc>
      </w:tr>
      <w:tr w:rsidR="008A6F2D" w14:paraId="6805B2E9" w14:textId="77777777">
        <w:tblPrEx>
          <w:tblCellMar>
            <w:top w:w="0" w:type="dxa"/>
            <w:bottom w:w="0" w:type="dxa"/>
          </w:tblCellMar>
        </w:tblPrEx>
        <w:trPr>
          <w:cantSplit/>
        </w:trPr>
        <w:tc>
          <w:tcPr>
            <w:tcW w:w="700" w:type="dxa"/>
            <w:tcBorders>
              <w:top w:val="nil"/>
              <w:left w:val="nil"/>
              <w:bottom w:val="nil"/>
              <w:right w:val="nil"/>
            </w:tcBorders>
            <w:tcMar>
              <w:top w:w="35" w:type="dxa"/>
              <w:left w:w="50" w:type="dxa"/>
              <w:bottom w:w="35" w:type="dxa"/>
              <w:right w:w="50" w:type="dxa"/>
            </w:tcMar>
          </w:tcPr>
          <w:p w14:paraId="6EB52D28" w14:textId="77777777" w:rsidR="008A6F2D" w:rsidRDefault="00000000">
            <w:pPr>
              <w:spacing w:after="0" w:line="220" w:lineRule="auto"/>
              <w:jc w:val="left"/>
            </w:pPr>
            <w:r>
              <w:rPr>
                <w:rFonts w:eastAsia="Times New Roman"/>
                <w:sz w:val="18"/>
                <w:szCs w:val="18"/>
              </w:rPr>
              <w:t>6</w:t>
            </w:r>
          </w:p>
        </w:tc>
        <w:tc>
          <w:tcPr>
            <w:tcW w:w="2100" w:type="dxa"/>
            <w:tcBorders>
              <w:top w:val="nil"/>
              <w:left w:val="nil"/>
              <w:bottom w:val="nil"/>
              <w:right w:val="nil"/>
            </w:tcBorders>
            <w:tcMar>
              <w:top w:w="35" w:type="dxa"/>
              <w:left w:w="50" w:type="dxa"/>
              <w:bottom w:w="35" w:type="dxa"/>
              <w:right w:w="50" w:type="dxa"/>
            </w:tcMar>
          </w:tcPr>
          <w:p w14:paraId="3792393D" w14:textId="77777777" w:rsidR="008A6F2D" w:rsidRDefault="00000000">
            <w:pPr>
              <w:spacing w:after="0" w:line="220" w:lineRule="auto"/>
              <w:jc w:val="center"/>
            </w:pPr>
            <w:r>
              <w:rPr>
                <w:rFonts w:eastAsia="Times New Roman"/>
                <w:sz w:val="18"/>
                <w:szCs w:val="18"/>
              </w:rPr>
              <w:t>818,951</w:t>
            </w:r>
          </w:p>
        </w:tc>
        <w:tc>
          <w:tcPr>
            <w:tcW w:w="1500" w:type="dxa"/>
            <w:tcBorders>
              <w:top w:val="nil"/>
              <w:left w:val="nil"/>
              <w:bottom w:val="nil"/>
              <w:right w:val="nil"/>
            </w:tcBorders>
            <w:tcMar>
              <w:top w:w="35" w:type="dxa"/>
              <w:left w:w="50" w:type="dxa"/>
              <w:bottom w:w="35" w:type="dxa"/>
              <w:right w:w="50" w:type="dxa"/>
            </w:tcMar>
          </w:tcPr>
          <w:p w14:paraId="7FAAAD9A" w14:textId="77777777" w:rsidR="008A6F2D" w:rsidRDefault="00000000">
            <w:pPr>
              <w:spacing w:after="0" w:line="220" w:lineRule="auto"/>
              <w:jc w:val="center"/>
            </w:pPr>
            <w:r>
              <w:rPr>
                <w:rFonts w:eastAsia="Times New Roman"/>
                <w:sz w:val="18"/>
                <w:szCs w:val="18"/>
              </w:rPr>
              <w:t>0.1768</w:t>
            </w:r>
          </w:p>
        </w:tc>
        <w:tc>
          <w:tcPr>
            <w:tcW w:w="1800" w:type="dxa"/>
            <w:tcBorders>
              <w:top w:val="nil"/>
              <w:left w:val="nil"/>
              <w:bottom w:val="nil"/>
              <w:right w:val="nil"/>
            </w:tcBorders>
            <w:tcMar>
              <w:top w:w="35" w:type="dxa"/>
              <w:left w:w="50" w:type="dxa"/>
              <w:bottom w:w="35" w:type="dxa"/>
              <w:right w:w="50" w:type="dxa"/>
            </w:tcMar>
          </w:tcPr>
          <w:p w14:paraId="51D2E1FC" w14:textId="77777777" w:rsidR="008A6F2D" w:rsidRDefault="00000000">
            <w:pPr>
              <w:spacing w:after="0" w:line="220" w:lineRule="auto"/>
              <w:jc w:val="center"/>
            </w:pPr>
            <w:r>
              <w:rPr>
                <w:rFonts w:eastAsia="Times New Roman"/>
                <w:sz w:val="18"/>
                <w:szCs w:val="18"/>
              </w:rPr>
              <w:t>−2,349,766</w:t>
            </w:r>
          </w:p>
        </w:tc>
        <w:tc>
          <w:tcPr>
            <w:tcW w:w="1800" w:type="dxa"/>
            <w:tcBorders>
              <w:top w:val="nil"/>
              <w:left w:val="nil"/>
              <w:bottom w:val="nil"/>
              <w:right w:val="nil"/>
            </w:tcBorders>
            <w:tcMar>
              <w:top w:w="35" w:type="dxa"/>
              <w:left w:w="50" w:type="dxa"/>
              <w:bottom w:w="35" w:type="dxa"/>
              <w:right w:w="50" w:type="dxa"/>
            </w:tcMar>
          </w:tcPr>
          <w:p w14:paraId="22344FE6" w14:textId="77777777" w:rsidR="008A6F2D" w:rsidRDefault="00000000">
            <w:pPr>
              <w:spacing w:after="0" w:line="220" w:lineRule="auto"/>
              <w:jc w:val="center"/>
            </w:pPr>
            <w:r>
              <w:rPr>
                <w:rFonts w:eastAsia="Times New Roman"/>
                <w:sz w:val="18"/>
                <w:szCs w:val="18"/>
              </w:rPr>
              <w:t>−2,358,217</w:t>
            </w:r>
          </w:p>
        </w:tc>
        <w:tc>
          <w:tcPr>
            <w:tcW w:w="1200" w:type="dxa"/>
            <w:tcBorders>
              <w:top w:val="nil"/>
              <w:left w:val="nil"/>
              <w:bottom w:val="nil"/>
              <w:right w:val="nil"/>
            </w:tcBorders>
            <w:tcMar>
              <w:top w:w="35" w:type="dxa"/>
              <w:left w:w="50" w:type="dxa"/>
              <w:bottom w:w="35" w:type="dxa"/>
              <w:right w:w="50" w:type="dxa"/>
            </w:tcMar>
          </w:tcPr>
          <w:p w14:paraId="4BE9EBBE" w14:textId="77777777" w:rsidR="008A6F2D" w:rsidRDefault="00000000">
            <w:pPr>
              <w:spacing w:after="0" w:line="220" w:lineRule="auto"/>
              <w:jc w:val="center"/>
            </w:pPr>
            <w:r>
              <w:rPr>
                <w:rFonts w:eastAsia="Times New Roman"/>
                <w:sz w:val="18"/>
                <w:szCs w:val="18"/>
              </w:rPr>
              <w:t>0.2468</w:t>
            </w:r>
          </w:p>
        </w:tc>
      </w:tr>
      <w:tr w:rsidR="008A6F2D" w14:paraId="00ECD65A" w14:textId="77777777">
        <w:tblPrEx>
          <w:tblCellMar>
            <w:top w:w="0" w:type="dxa"/>
            <w:bottom w:w="0" w:type="dxa"/>
          </w:tblCellMar>
        </w:tblPrEx>
        <w:trPr>
          <w:cantSplit/>
        </w:trPr>
        <w:tc>
          <w:tcPr>
            <w:tcW w:w="700" w:type="dxa"/>
            <w:tcBorders>
              <w:top w:val="nil"/>
              <w:left w:val="nil"/>
              <w:bottom w:val="nil"/>
              <w:right w:val="nil"/>
            </w:tcBorders>
            <w:tcMar>
              <w:top w:w="35" w:type="dxa"/>
              <w:left w:w="50" w:type="dxa"/>
              <w:bottom w:w="35" w:type="dxa"/>
              <w:right w:w="50" w:type="dxa"/>
            </w:tcMar>
          </w:tcPr>
          <w:p w14:paraId="3DAD7B26" w14:textId="77777777" w:rsidR="008A6F2D" w:rsidRDefault="00000000">
            <w:pPr>
              <w:spacing w:after="0" w:line="220" w:lineRule="auto"/>
              <w:jc w:val="left"/>
            </w:pPr>
            <w:r>
              <w:rPr>
                <w:rFonts w:eastAsia="Times New Roman"/>
                <w:sz w:val="18"/>
                <w:szCs w:val="18"/>
              </w:rPr>
              <w:t>7</w:t>
            </w:r>
          </w:p>
        </w:tc>
        <w:tc>
          <w:tcPr>
            <w:tcW w:w="2100" w:type="dxa"/>
            <w:tcBorders>
              <w:top w:val="nil"/>
              <w:left w:val="nil"/>
              <w:bottom w:val="nil"/>
              <w:right w:val="nil"/>
            </w:tcBorders>
            <w:tcMar>
              <w:top w:w="35" w:type="dxa"/>
              <w:left w:w="50" w:type="dxa"/>
              <w:bottom w:w="35" w:type="dxa"/>
              <w:right w:w="50" w:type="dxa"/>
            </w:tcMar>
          </w:tcPr>
          <w:p w14:paraId="435A26DD" w14:textId="77777777" w:rsidR="008A6F2D" w:rsidRDefault="00000000">
            <w:pPr>
              <w:spacing w:after="0" w:line="220" w:lineRule="auto"/>
              <w:jc w:val="center"/>
            </w:pPr>
            <w:r>
              <w:rPr>
                <w:rFonts w:eastAsia="Times New Roman"/>
                <w:sz w:val="18"/>
                <w:szCs w:val="18"/>
              </w:rPr>
              <w:t>777,658</w:t>
            </w:r>
          </w:p>
        </w:tc>
        <w:tc>
          <w:tcPr>
            <w:tcW w:w="1500" w:type="dxa"/>
            <w:tcBorders>
              <w:top w:val="nil"/>
              <w:left w:val="nil"/>
              <w:bottom w:val="nil"/>
              <w:right w:val="nil"/>
            </w:tcBorders>
            <w:tcMar>
              <w:top w:w="35" w:type="dxa"/>
              <w:left w:w="50" w:type="dxa"/>
              <w:bottom w:w="35" w:type="dxa"/>
              <w:right w:w="50" w:type="dxa"/>
            </w:tcMar>
          </w:tcPr>
          <w:p w14:paraId="7491BFC1" w14:textId="77777777" w:rsidR="008A6F2D" w:rsidRDefault="00000000">
            <w:pPr>
              <w:spacing w:after="0" w:line="220" w:lineRule="auto"/>
              <w:jc w:val="center"/>
            </w:pPr>
            <w:r>
              <w:rPr>
                <w:rFonts w:eastAsia="Times New Roman"/>
                <w:sz w:val="18"/>
                <w:szCs w:val="18"/>
              </w:rPr>
              <w:t>0.1971</w:t>
            </w:r>
          </w:p>
        </w:tc>
        <w:tc>
          <w:tcPr>
            <w:tcW w:w="1800" w:type="dxa"/>
            <w:tcBorders>
              <w:top w:val="nil"/>
              <w:left w:val="nil"/>
              <w:bottom w:val="nil"/>
              <w:right w:val="nil"/>
            </w:tcBorders>
            <w:tcMar>
              <w:top w:w="35" w:type="dxa"/>
              <w:left w:w="50" w:type="dxa"/>
              <w:bottom w:w="35" w:type="dxa"/>
              <w:right w:w="50" w:type="dxa"/>
            </w:tcMar>
          </w:tcPr>
          <w:p w14:paraId="1676364B" w14:textId="77777777" w:rsidR="008A6F2D" w:rsidRDefault="00000000">
            <w:pPr>
              <w:spacing w:after="0" w:line="220" w:lineRule="auto"/>
              <w:jc w:val="center"/>
            </w:pPr>
            <w:r>
              <w:rPr>
                <w:rFonts w:eastAsia="Times New Roman"/>
                <w:sz w:val="18"/>
                <w:szCs w:val="18"/>
              </w:rPr>
              <w:t>−2,394,381</w:t>
            </w:r>
          </w:p>
        </w:tc>
        <w:tc>
          <w:tcPr>
            <w:tcW w:w="1800" w:type="dxa"/>
            <w:tcBorders>
              <w:top w:val="nil"/>
              <w:left w:val="nil"/>
              <w:bottom w:val="nil"/>
              <w:right w:val="nil"/>
            </w:tcBorders>
            <w:tcMar>
              <w:top w:w="35" w:type="dxa"/>
              <w:left w:w="50" w:type="dxa"/>
              <w:bottom w:w="35" w:type="dxa"/>
              <w:right w:w="50" w:type="dxa"/>
            </w:tcMar>
          </w:tcPr>
          <w:p w14:paraId="500D935E" w14:textId="77777777" w:rsidR="008A6F2D" w:rsidRDefault="00000000">
            <w:pPr>
              <w:spacing w:after="0" w:line="220" w:lineRule="auto"/>
              <w:jc w:val="center"/>
            </w:pPr>
            <w:r>
              <w:rPr>
                <w:rFonts w:eastAsia="Times New Roman"/>
                <w:sz w:val="18"/>
                <w:szCs w:val="18"/>
              </w:rPr>
              <w:t>−2,404,243</w:t>
            </w:r>
          </w:p>
        </w:tc>
        <w:tc>
          <w:tcPr>
            <w:tcW w:w="1200" w:type="dxa"/>
            <w:tcBorders>
              <w:top w:val="nil"/>
              <w:left w:val="nil"/>
              <w:bottom w:val="nil"/>
              <w:right w:val="nil"/>
            </w:tcBorders>
            <w:tcMar>
              <w:top w:w="35" w:type="dxa"/>
              <w:left w:w="50" w:type="dxa"/>
              <w:bottom w:w="35" w:type="dxa"/>
              <w:right w:w="50" w:type="dxa"/>
            </w:tcMar>
          </w:tcPr>
          <w:p w14:paraId="33DB58DD" w14:textId="77777777" w:rsidR="008A6F2D" w:rsidRDefault="00000000">
            <w:pPr>
              <w:spacing w:after="0" w:line="220" w:lineRule="auto"/>
              <w:jc w:val="center"/>
            </w:pPr>
            <w:r>
              <w:rPr>
                <w:rFonts w:eastAsia="Times New Roman"/>
                <w:sz w:val="18"/>
                <w:szCs w:val="18"/>
              </w:rPr>
              <w:t>0.3110</w:t>
            </w:r>
          </w:p>
        </w:tc>
      </w:tr>
      <w:tr w:rsidR="008A6F2D" w14:paraId="7D442475" w14:textId="77777777">
        <w:tblPrEx>
          <w:tblCellMar>
            <w:top w:w="0" w:type="dxa"/>
            <w:bottom w:w="0" w:type="dxa"/>
          </w:tblCellMar>
        </w:tblPrEx>
        <w:trPr>
          <w:cantSplit/>
        </w:trPr>
        <w:tc>
          <w:tcPr>
            <w:tcW w:w="700" w:type="dxa"/>
            <w:tcBorders>
              <w:top w:val="nil"/>
              <w:left w:val="nil"/>
              <w:bottom w:val="single" w:sz="4" w:space="0" w:color="000000"/>
              <w:right w:val="nil"/>
            </w:tcBorders>
            <w:tcMar>
              <w:top w:w="35" w:type="dxa"/>
              <w:left w:w="50" w:type="dxa"/>
              <w:bottom w:w="35" w:type="dxa"/>
              <w:right w:w="50" w:type="dxa"/>
            </w:tcMar>
          </w:tcPr>
          <w:p w14:paraId="18E7F9CA" w14:textId="77777777" w:rsidR="008A6F2D" w:rsidRDefault="00000000">
            <w:pPr>
              <w:spacing w:after="0" w:line="220" w:lineRule="auto"/>
              <w:jc w:val="left"/>
            </w:pPr>
            <w:r>
              <w:rPr>
                <w:rFonts w:eastAsia="Times New Roman"/>
                <w:sz w:val="18"/>
                <w:szCs w:val="18"/>
              </w:rPr>
              <w:t>8</w:t>
            </w:r>
          </w:p>
        </w:tc>
        <w:tc>
          <w:tcPr>
            <w:tcW w:w="2100" w:type="dxa"/>
            <w:tcBorders>
              <w:top w:val="nil"/>
              <w:left w:val="nil"/>
              <w:bottom w:val="single" w:sz="4" w:space="0" w:color="000000"/>
              <w:right w:val="nil"/>
            </w:tcBorders>
            <w:tcMar>
              <w:top w:w="35" w:type="dxa"/>
              <w:left w:w="50" w:type="dxa"/>
              <w:bottom w:w="35" w:type="dxa"/>
              <w:right w:w="50" w:type="dxa"/>
            </w:tcMar>
          </w:tcPr>
          <w:p w14:paraId="16666B9D" w14:textId="77777777" w:rsidR="008A6F2D" w:rsidRDefault="00000000">
            <w:pPr>
              <w:spacing w:after="0" w:line="220" w:lineRule="auto"/>
              <w:jc w:val="center"/>
            </w:pPr>
            <w:r>
              <w:rPr>
                <w:rFonts w:eastAsia="Times New Roman"/>
                <w:sz w:val="18"/>
                <w:szCs w:val="18"/>
              </w:rPr>
              <w:t>691,941</w:t>
            </w:r>
          </w:p>
        </w:tc>
        <w:tc>
          <w:tcPr>
            <w:tcW w:w="1500" w:type="dxa"/>
            <w:tcBorders>
              <w:top w:val="nil"/>
              <w:left w:val="nil"/>
              <w:bottom w:val="single" w:sz="4" w:space="0" w:color="000000"/>
              <w:right w:val="nil"/>
            </w:tcBorders>
            <w:tcMar>
              <w:top w:w="35" w:type="dxa"/>
              <w:left w:w="50" w:type="dxa"/>
              <w:bottom w:w="35" w:type="dxa"/>
              <w:right w:w="50" w:type="dxa"/>
            </w:tcMar>
          </w:tcPr>
          <w:p w14:paraId="723B31F9" w14:textId="77777777" w:rsidR="008A6F2D" w:rsidRDefault="00000000">
            <w:pPr>
              <w:spacing w:after="0" w:line="220" w:lineRule="auto"/>
              <w:jc w:val="center"/>
            </w:pPr>
            <w:r>
              <w:rPr>
                <w:rFonts w:eastAsia="Times New Roman"/>
                <w:sz w:val="18"/>
                <w:szCs w:val="18"/>
              </w:rPr>
              <w:t>0.2015</w:t>
            </w:r>
          </w:p>
        </w:tc>
        <w:tc>
          <w:tcPr>
            <w:tcW w:w="1800" w:type="dxa"/>
            <w:tcBorders>
              <w:top w:val="nil"/>
              <w:left w:val="nil"/>
              <w:bottom w:val="single" w:sz="4" w:space="0" w:color="000000"/>
              <w:right w:val="nil"/>
            </w:tcBorders>
            <w:tcMar>
              <w:top w:w="35" w:type="dxa"/>
              <w:left w:w="50" w:type="dxa"/>
              <w:bottom w:w="35" w:type="dxa"/>
              <w:right w:w="50" w:type="dxa"/>
            </w:tcMar>
          </w:tcPr>
          <w:p w14:paraId="63F90E09" w14:textId="77777777" w:rsidR="008A6F2D" w:rsidRDefault="00000000">
            <w:pPr>
              <w:spacing w:after="0" w:line="220" w:lineRule="auto"/>
              <w:jc w:val="center"/>
            </w:pPr>
            <w:r>
              <w:rPr>
                <w:rFonts w:eastAsia="Times New Roman"/>
                <w:sz w:val="18"/>
                <w:szCs w:val="18"/>
              </w:rPr>
              <w:t>−2,510,221</w:t>
            </w:r>
          </w:p>
        </w:tc>
        <w:tc>
          <w:tcPr>
            <w:tcW w:w="1800" w:type="dxa"/>
            <w:tcBorders>
              <w:top w:val="nil"/>
              <w:left w:val="nil"/>
              <w:bottom w:val="single" w:sz="4" w:space="0" w:color="000000"/>
              <w:right w:val="nil"/>
            </w:tcBorders>
            <w:tcMar>
              <w:top w:w="35" w:type="dxa"/>
              <w:left w:w="50" w:type="dxa"/>
              <w:bottom w:w="35" w:type="dxa"/>
              <w:right w:w="50" w:type="dxa"/>
            </w:tcMar>
          </w:tcPr>
          <w:p w14:paraId="649C5924" w14:textId="77777777" w:rsidR="008A6F2D" w:rsidRDefault="00000000">
            <w:pPr>
              <w:spacing w:after="0" w:line="220" w:lineRule="auto"/>
              <w:jc w:val="center"/>
            </w:pPr>
            <w:r>
              <w:rPr>
                <w:rFonts w:eastAsia="Times New Roman"/>
                <w:sz w:val="18"/>
                <w:szCs w:val="18"/>
              </w:rPr>
              <w:t>−2,521,493</w:t>
            </w:r>
          </w:p>
        </w:tc>
        <w:tc>
          <w:tcPr>
            <w:tcW w:w="1200" w:type="dxa"/>
            <w:tcBorders>
              <w:top w:val="nil"/>
              <w:left w:val="nil"/>
              <w:bottom w:val="single" w:sz="4" w:space="0" w:color="000000"/>
              <w:right w:val="nil"/>
            </w:tcBorders>
            <w:tcMar>
              <w:top w:w="35" w:type="dxa"/>
              <w:left w:w="50" w:type="dxa"/>
              <w:bottom w:w="35" w:type="dxa"/>
              <w:right w:w="50" w:type="dxa"/>
            </w:tcMar>
          </w:tcPr>
          <w:p w14:paraId="5D14AD2B" w14:textId="77777777" w:rsidR="008A6F2D" w:rsidRDefault="00000000">
            <w:pPr>
              <w:spacing w:after="0" w:line="220" w:lineRule="auto"/>
              <w:jc w:val="center"/>
            </w:pPr>
            <w:r>
              <w:rPr>
                <w:rFonts w:eastAsia="Times New Roman"/>
                <w:sz w:val="18"/>
                <w:szCs w:val="18"/>
              </w:rPr>
              <w:t>0.1726</w:t>
            </w:r>
          </w:p>
        </w:tc>
      </w:tr>
    </w:tbl>
    <w:p w14:paraId="3A37948A" w14:textId="77777777" w:rsidR="008A6F2D" w:rsidRDefault="00000000">
      <w:r>
        <w:rPr>
          <w:rFonts w:eastAsia="Times New Roman"/>
        </w:rPr>
        <w:t xml:space="preserve">The GMM BIC column in Table 2 shows a monotonic decrease with larger k, which is expected since adding more components always allows a better fit to the training data. However, BIC also </w:t>
      </w:r>
      <w:proofErr w:type="spellStart"/>
      <w:r>
        <w:rPr>
          <w:rFonts w:eastAsia="Times New Roman"/>
        </w:rPr>
        <w:t>penalises</w:t>
      </w:r>
      <w:proofErr w:type="spellEnd"/>
      <w:r>
        <w:rPr>
          <w:rFonts w:eastAsia="Times New Roman"/>
        </w:rPr>
        <w:t xml:space="preserve"> model complexity, </w:t>
      </w:r>
      <w:proofErr w:type="gramStart"/>
      <w:r>
        <w:rPr>
          <w:rFonts w:eastAsia="Times New Roman"/>
        </w:rPr>
        <w:t>so</w:t>
      </w:r>
      <w:proofErr w:type="gramEnd"/>
      <w:r>
        <w:rPr>
          <w:rFonts w:eastAsia="Times New Roman"/>
        </w:rPr>
        <w:t xml:space="preserve"> the rate of decrease slows at larger k, suggesting diminishing returns. The K-Means inertia curve is gradual </w:t>
      </w:r>
      <w:r>
        <w:rPr>
          <w:rFonts w:eastAsia="Times New Roman"/>
        </w:rPr>
        <w:lastRenderedPageBreak/>
        <w:t>with no sharp elbow, indicating the absence of a natural cluster count, another sign that the data does not contain clearly separable spherical structures. Overall, the GMM’s consistently higher silhouette scores across most values of k indicate that insurance applicants form probabilistic subtypes with soft boundaries. This validates the conceptual distinction between hard and soft assignment: GMM captures the overlapping nature of risk profiles that K-Means cannot represent. Importantly, neither clustering method is intended to replace the supervised classifier, they serve different objectives and the unsupervised analysis is purely exploratory.</w:t>
      </w:r>
    </w:p>
    <w:p w14:paraId="014A4BAD" w14:textId="77777777" w:rsidR="008A6F2D" w:rsidRDefault="00000000">
      <w:pPr>
        <w:pStyle w:val="1"/>
      </w:pPr>
      <w:proofErr w:type="spellStart"/>
      <w:r>
        <w:rPr>
          <w:sz w:val="30"/>
          <w:szCs w:val="30"/>
        </w:rPr>
        <w:t>Personalised</w:t>
      </w:r>
      <w:proofErr w:type="spellEnd"/>
      <w:r>
        <w:rPr>
          <w:sz w:val="30"/>
          <w:szCs w:val="30"/>
        </w:rPr>
        <w:t xml:space="preserve"> Improvement Reflection</w:t>
      </w:r>
    </w:p>
    <w:p w14:paraId="1A45E1A6" w14:textId="77777777" w:rsidR="008A6F2D" w:rsidRPr="00667641" w:rsidRDefault="00000000" w:rsidP="007C3F65">
      <w:pPr>
        <w:jc w:val="left"/>
        <w:rPr>
          <w:sz w:val="24"/>
          <w:szCs w:val="24"/>
        </w:rPr>
      </w:pPr>
      <w:r w:rsidRPr="00667641">
        <w:rPr>
          <w:rFonts w:eastAsia="Times New Roman"/>
          <w:sz w:val="24"/>
          <w:szCs w:val="24"/>
        </w:rPr>
        <w:t xml:space="preserve">My compulsory category was Category A: Data Quality and Missingness. Before any modelling, I conducted an EDA that identified significant missing values in multiple columns. Five columns had particularly high missing rates: </w:t>
      </w:r>
      <w:proofErr w:type="spellStart"/>
      <w:r w:rsidRPr="00667641">
        <w:rPr>
          <w:rFonts w:eastAsia="Times New Roman"/>
          <w:sz w:val="24"/>
          <w:szCs w:val="24"/>
        </w:rPr>
        <w:t>net_monthly_income_gbp</w:t>
      </w:r>
      <w:proofErr w:type="spellEnd"/>
      <w:r w:rsidRPr="00667641">
        <w:rPr>
          <w:rFonts w:eastAsia="Times New Roman"/>
          <w:sz w:val="24"/>
          <w:szCs w:val="24"/>
        </w:rPr>
        <w:t xml:space="preserve">, </w:t>
      </w:r>
      <w:proofErr w:type="spellStart"/>
      <w:r w:rsidRPr="00667641">
        <w:rPr>
          <w:rFonts w:eastAsia="Times New Roman"/>
          <w:sz w:val="24"/>
          <w:szCs w:val="24"/>
        </w:rPr>
        <w:t>avg_payment_delay_days</w:t>
      </w:r>
      <w:proofErr w:type="spellEnd"/>
      <w:r w:rsidRPr="00667641">
        <w:rPr>
          <w:rFonts w:eastAsia="Times New Roman"/>
          <w:sz w:val="24"/>
          <w:szCs w:val="24"/>
        </w:rPr>
        <w:t xml:space="preserve">, </w:t>
      </w:r>
      <w:proofErr w:type="spellStart"/>
      <w:r w:rsidRPr="00667641">
        <w:rPr>
          <w:rFonts w:eastAsia="Times New Roman"/>
          <w:sz w:val="24"/>
          <w:szCs w:val="24"/>
        </w:rPr>
        <w:t>monthly_investment_gbp</w:t>
      </w:r>
      <w:proofErr w:type="spellEnd"/>
      <w:r w:rsidRPr="00667641">
        <w:rPr>
          <w:rFonts w:eastAsia="Times New Roman"/>
          <w:sz w:val="24"/>
          <w:szCs w:val="24"/>
        </w:rPr>
        <w:t xml:space="preserve">, </w:t>
      </w:r>
      <w:proofErr w:type="spellStart"/>
      <w:r w:rsidRPr="00667641">
        <w:rPr>
          <w:rFonts w:eastAsia="Times New Roman"/>
          <w:sz w:val="24"/>
          <w:szCs w:val="24"/>
        </w:rPr>
        <w:t>prior_debt_products</w:t>
      </w:r>
      <w:proofErr w:type="spellEnd"/>
      <w:r w:rsidRPr="00667641">
        <w:rPr>
          <w:rFonts w:eastAsia="Times New Roman"/>
          <w:sz w:val="24"/>
          <w:szCs w:val="24"/>
        </w:rPr>
        <w:t xml:space="preserve">, and </w:t>
      </w:r>
      <w:proofErr w:type="spellStart"/>
      <w:r w:rsidRPr="00667641">
        <w:rPr>
          <w:rFonts w:eastAsia="Times New Roman"/>
          <w:sz w:val="24"/>
          <w:szCs w:val="24"/>
        </w:rPr>
        <w:t>account_tenure</w:t>
      </w:r>
      <w:proofErr w:type="spellEnd"/>
      <w:r w:rsidRPr="00667641">
        <w:rPr>
          <w:rFonts w:eastAsia="Times New Roman"/>
          <w:sz w:val="24"/>
          <w:szCs w:val="24"/>
        </w:rPr>
        <w:t xml:space="preserve"> (at 30.6, 19.0, 21.1, 7.6, and 4.3 percent respectively). Rather than treating missing values as noise and simply applying median imputation, I added five binary missing-indicator features, one for each of these five columns, appending them to the feature set alongside median imputation. This is based on the hypothesis that the pattern of missingness itself may be informative: a missing income value might indicate financial instability or unemployment, which is a legitimate risk signal in insurance.</w:t>
      </w:r>
    </w:p>
    <w:p w14:paraId="05EE60D2" w14:textId="77777777" w:rsidR="008A6F2D" w:rsidRPr="00667641" w:rsidRDefault="00000000" w:rsidP="007C3F65">
      <w:pPr>
        <w:jc w:val="left"/>
        <w:rPr>
          <w:sz w:val="24"/>
          <w:szCs w:val="24"/>
        </w:rPr>
      </w:pPr>
      <w:r w:rsidRPr="00667641">
        <w:rPr>
          <w:rFonts w:eastAsia="Times New Roman"/>
          <w:sz w:val="24"/>
          <w:szCs w:val="24"/>
        </w:rPr>
        <w:t xml:space="preserve">After adding the five missing indicators, validation macro-F1 rose from 0.8520 (the </w:t>
      </w:r>
      <w:proofErr w:type="spellStart"/>
      <w:r w:rsidRPr="00667641">
        <w:rPr>
          <w:rFonts w:eastAsia="Times New Roman"/>
          <w:sz w:val="24"/>
          <w:szCs w:val="24"/>
        </w:rPr>
        <w:t>Optuna</w:t>
      </w:r>
      <w:proofErr w:type="spellEnd"/>
      <w:r w:rsidRPr="00667641">
        <w:rPr>
          <w:rFonts w:eastAsia="Times New Roman"/>
          <w:sz w:val="24"/>
          <w:szCs w:val="24"/>
        </w:rPr>
        <w:t xml:space="preserve">-tuned model) to 0.8529 (Category A </w:t>
      </w:r>
      <w:proofErr w:type="spellStart"/>
      <w:r w:rsidRPr="00667641">
        <w:rPr>
          <w:rFonts w:eastAsia="Times New Roman"/>
          <w:sz w:val="24"/>
          <w:szCs w:val="24"/>
        </w:rPr>
        <w:t>XGBoost</w:t>
      </w:r>
      <w:proofErr w:type="spellEnd"/>
      <w:r w:rsidRPr="00667641">
        <w:rPr>
          <w:rFonts w:eastAsia="Times New Roman"/>
          <w:sz w:val="24"/>
          <w:szCs w:val="24"/>
        </w:rPr>
        <w:t xml:space="preserve">). The gain is modest (+0.0009) but meaningful, given that the tuned model was already strong and operating close to the performance ceiling implied by the feature space. More importantly, the gain confirms the hypothesis that missingness carries </w:t>
      </w:r>
      <w:proofErr w:type="spellStart"/>
      <w:r w:rsidRPr="00667641">
        <w:rPr>
          <w:rFonts w:eastAsia="Times New Roman"/>
          <w:sz w:val="24"/>
          <w:szCs w:val="24"/>
        </w:rPr>
        <w:t>behavioural</w:t>
      </w:r>
      <w:proofErr w:type="spellEnd"/>
      <w:r w:rsidRPr="00667641">
        <w:rPr>
          <w:rFonts w:eastAsia="Times New Roman"/>
          <w:sz w:val="24"/>
          <w:szCs w:val="24"/>
        </w:rPr>
        <w:t xml:space="preserve"> signal: in financial applications, missing income data does not occur at random and is therefore legitimately predictive. This also demonstrates an important methodological lesson: even small improvements should be interrogated to determine whether they reflect genuine signal or overfitting.</w:t>
      </w:r>
    </w:p>
    <w:p w14:paraId="25050A28" w14:textId="77777777" w:rsidR="008A6F2D" w:rsidRPr="00667641" w:rsidRDefault="00000000" w:rsidP="007C3F65">
      <w:pPr>
        <w:jc w:val="left"/>
        <w:rPr>
          <w:sz w:val="24"/>
          <w:szCs w:val="24"/>
        </w:rPr>
      </w:pPr>
      <w:r w:rsidRPr="00667641">
        <w:rPr>
          <w:rFonts w:eastAsia="Times New Roman"/>
          <w:sz w:val="24"/>
          <w:szCs w:val="24"/>
        </w:rPr>
        <w:t xml:space="preserve">For my optional category, I implemented Category D: Soft Voting Ensemble by combining Random Forest and tuned </w:t>
      </w:r>
      <w:proofErr w:type="spellStart"/>
      <w:r w:rsidRPr="00667641">
        <w:rPr>
          <w:rFonts w:eastAsia="Times New Roman"/>
          <w:sz w:val="24"/>
          <w:szCs w:val="24"/>
        </w:rPr>
        <w:t>XGBoost</w:t>
      </w:r>
      <w:proofErr w:type="spellEnd"/>
      <w:r w:rsidRPr="00667641">
        <w:rPr>
          <w:rFonts w:eastAsia="Times New Roman"/>
          <w:sz w:val="24"/>
          <w:szCs w:val="24"/>
        </w:rPr>
        <w:t xml:space="preserve"> using soft voting (averaging predicted class probabilities). The ensemble achieved validation macro-F1 of 0.8510, which is below both the Category A model (0.8529) and the tuned </w:t>
      </w:r>
      <w:proofErr w:type="spellStart"/>
      <w:r w:rsidRPr="00667641">
        <w:rPr>
          <w:rFonts w:eastAsia="Times New Roman"/>
          <w:sz w:val="24"/>
          <w:szCs w:val="24"/>
        </w:rPr>
        <w:t>XGBoost</w:t>
      </w:r>
      <w:proofErr w:type="spellEnd"/>
      <w:r w:rsidRPr="00667641">
        <w:rPr>
          <w:rFonts w:eastAsia="Times New Roman"/>
          <w:sz w:val="24"/>
          <w:szCs w:val="24"/>
        </w:rPr>
        <w:t xml:space="preserve"> alone (0.8520). This outcome is instructive: it shows that model diversity alone is insufficient for ensemble improvement. The two base learners had very different prediction profiles, RF overfitted dramatically while </w:t>
      </w:r>
      <w:proofErr w:type="spellStart"/>
      <w:r w:rsidRPr="00667641">
        <w:rPr>
          <w:rFonts w:eastAsia="Times New Roman"/>
          <w:sz w:val="24"/>
          <w:szCs w:val="24"/>
        </w:rPr>
        <w:t>XGBoost</w:t>
      </w:r>
      <w:proofErr w:type="spellEnd"/>
      <w:r w:rsidRPr="00667641">
        <w:rPr>
          <w:rFonts w:eastAsia="Times New Roman"/>
          <w:sz w:val="24"/>
          <w:szCs w:val="24"/>
        </w:rPr>
        <w:t xml:space="preserve"> was well-calibrated, and combining them diluted the boosting model’s advantage rather than complementing it. In practice, effective ensembles typically require base learners that are both individually strong and diverse in their error patterns. My final model selection was therefore the Category A </w:t>
      </w:r>
      <w:proofErr w:type="spellStart"/>
      <w:r w:rsidRPr="00667641">
        <w:rPr>
          <w:rFonts w:eastAsia="Times New Roman"/>
          <w:sz w:val="24"/>
          <w:szCs w:val="24"/>
        </w:rPr>
        <w:t>XGBoost</w:t>
      </w:r>
      <w:proofErr w:type="spellEnd"/>
      <w:r w:rsidRPr="00667641">
        <w:rPr>
          <w:rFonts w:eastAsia="Times New Roman"/>
          <w:sz w:val="24"/>
          <w:szCs w:val="24"/>
        </w:rPr>
        <w:t>, chosen strictly on the basis of validation macro-F1 evidence.</w:t>
      </w:r>
    </w:p>
    <w:p w14:paraId="4D6362A8" w14:textId="77777777" w:rsidR="008A6F2D" w:rsidRPr="00667641" w:rsidRDefault="00000000" w:rsidP="007C3F65">
      <w:pPr>
        <w:jc w:val="left"/>
        <w:rPr>
          <w:sz w:val="24"/>
          <w:szCs w:val="24"/>
        </w:rPr>
      </w:pPr>
      <w:r w:rsidRPr="00667641">
        <w:rPr>
          <w:rFonts w:eastAsia="Times New Roman"/>
          <w:sz w:val="24"/>
          <w:szCs w:val="24"/>
        </w:rPr>
        <w:t xml:space="preserve">A critical prerequisite for all modelling steps was data leakage control. Before any model training, I screened all available features using single-feature </w:t>
      </w:r>
      <w:proofErr w:type="spellStart"/>
      <w:r w:rsidRPr="00667641">
        <w:rPr>
          <w:rFonts w:eastAsia="Times New Roman"/>
          <w:sz w:val="24"/>
          <w:szCs w:val="24"/>
        </w:rPr>
        <w:t>DecisionTree</w:t>
      </w:r>
      <w:proofErr w:type="spellEnd"/>
      <w:r w:rsidRPr="00667641">
        <w:rPr>
          <w:rFonts w:eastAsia="Times New Roman"/>
          <w:sz w:val="24"/>
          <w:szCs w:val="24"/>
        </w:rPr>
        <w:t xml:space="preserve"> cross-validation. The feature </w:t>
      </w:r>
      <w:proofErr w:type="spellStart"/>
      <w:r w:rsidRPr="00667641">
        <w:rPr>
          <w:rFonts w:eastAsia="Times New Roman"/>
          <w:sz w:val="24"/>
          <w:szCs w:val="24"/>
        </w:rPr>
        <w:t>bureau_risk_index</w:t>
      </w:r>
      <w:proofErr w:type="spellEnd"/>
      <w:r w:rsidRPr="00667641">
        <w:rPr>
          <w:rFonts w:eastAsia="Times New Roman"/>
          <w:sz w:val="24"/>
          <w:szCs w:val="24"/>
        </w:rPr>
        <w:t xml:space="preserve"> achieved a single-feature macro-F1 of 0.9999, an extraordinarily high score that indicates near-perfect class separation. This immediately triggered the leakage detection threshold (set at 0.85), and the feature was removed before any further experimentation. This step is fundamental: without removing the leakage feature, all subsequent validation scores in Table 1 would be artificially inflated and every model comparison would be invalid. The leakage check also illustrates an important broader principle in applied machine learning: even when a feature appears to improve performance, it must be evaluated for its relationship to the target before being accepted.</w:t>
      </w:r>
    </w:p>
    <w:p w14:paraId="78CC991D" w14:textId="77777777" w:rsidR="008A6F2D" w:rsidRDefault="00000000">
      <w:pPr>
        <w:pStyle w:val="1"/>
        <w:pageBreakBefore/>
      </w:pPr>
      <w:r>
        <w:rPr>
          <w:sz w:val="30"/>
          <w:szCs w:val="30"/>
        </w:rPr>
        <w:lastRenderedPageBreak/>
        <w:t>AI Use Declaration</w:t>
      </w:r>
    </w:p>
    <w:p w14:paraId="5C1ADA08" w14:textId="77777777" w:rsidR="008A6F2D" w:rsidRPr="00667641" w:rsidRDefault="00000000">
      <w:pPr>
        <w:rPr>
          <w:sz w:val="24"/>
          <w:szCs w:val="24"/>
        </w:rPr>
      </w:pPr>
      <w:r w:rsidRPr="00667641">
        <w:rPr>
          <w:rFonts w:eastAsia="Times New Roman"/>
          <w:sz w:val="24"/>
          <w:szCs w:val="24"/>
        </w:rPr>
        <w:t xml:space="preserve">AI tools were used only in a limited support role throughout this coursework: they assisted with environment debugging (resolving package import and GPU configuration issues), and with LATEX formatting to produce the final document. The experimental design, leakage detection decision, controlled model comparison, </w:t>
      </w:r>
      <w:proofErr w:type="spellStart"/>
      <w:r w:rsidRPr="00667641">
        <w:rPr>
          <w:rFonts w:eastAsia="Times New Roman"/>
          <w:sz w:val="24"/>
          <w:szCs w:val="24"/>
        </w:rPr>
        <w:t>personalised</w:t>
      </w:r>
      <w:proofErr w:type="spellEnd"/>
      <w:r w:rsidRPr="00667641">
        <w:rPr>
          <w:rFonts w:eastAsia="Times New Roman"/>
          <w:sz w:val="24"/>
          <w:szCs w:val="24"/>
        </w:rPr>
        <w:t xml:space="preserve"> improvement strategy, and all written interpretations of tables, figures, and metrics were derived from my own notebook results. No claims are made about hidden-test performance; the CSV file (test_result_1234560.csv) follows the required filename and column order from the assignment brief, generated solely for submission formatting.</w:t>
      </w:r>
    </w:p>
    <w:sectPr w:rsidR="008A6F2D" w:rsidRPr="00667641">
      <w:headerReference w:type="default" r:id="rId8"/>
      <w:footerReference w:type="default" r:id="rId9"/>
      <w:pgSz w:w="11906" w:h="16838"/>
      <w:pgMar w:top="1020" w:right="1020" w:bottom="1020" w:left="10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71BC" w14:textId="77777777" w:rsidR="003D21A0" w:rsidRDefault="003D21A0">
      <w:pPr>
        <w:spacing w:after="0" w:line="240" w:lineRule="auto"/>
      </w:pPr>
      <w:r>
        <w:separator/>
      </w:r>
    </w:p>
  </w:endnote>
  <w:endnote w:type="continuationSeparator" w:id="0">
    <w:p w14:paraId="44E0898D" w14:textId="77777777" w:rsidR="003D21A0" w:rsidRDefault="003D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B004" w14:textId="77777777" w:rsidR="008A6F2D" w:rsidRDefault="00000000">
    <w:pPr>
      <w:jc w:val="center"/>
    </w:pPr>
    <w:r>
      <w:rPr>
        <w:sz w:val="20"/>
        <w:szCs w:val="20"/>
      </w:rPr>
      <w:fldChar w:fldCharType="begin"/>
    </w:r>
    <w:r>
      <w:rPr>
        <w:rFonts w:eastAsia="Times New Roman"/>
        <w:sz w:val="20"/>
        <w:szCs w:val="20"/>
      </w:rPr>
      <w:instrText>PAGE</w:instrText>
    </w:r>
    <w:r>
      <w:rPr>
        <w:sz w:val="20"/>
        <w:szCs w:val="20"/>
      </w:rPr>
      <w:fldChar w:fldCharType="separate"/>
    </w:r>
    <w:r w:rsidR="00667641">
      <w:rPr>
        <w:rFonts w:eastAsia="Times New Roman"/>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7207" w14:textId="77777777" w:rsidR="003D21A0" w:rsidRDefault="003D21A0">
      <w:pPr>
        <w:spacing w:after="0" w:line="240" w:lineRule="auto"/>
      </w:pPr>
      <w:r>
        <w:separator/>
      </w:r>
    </w:p>
  </w:footnote>
  <w:footnote w:type="continuationSeparator" w:id="0">
    <w:p w14:paraId="0ADEC2FF" w14:textId="77777777" w:rsidR="003D21A0" w:rsidRDefault="003D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AC7F" w14:textId="77777777" w:rsidR="008A6F2D" w:rsidRDefault="00000000">
    <w:r>
      <w:rPr>
        <w:noProof/>
      </w:rPr>
      <mc:AlternateContent>
        <mc:Choice Requires="wps">
          <w:drawing>
            <wp:anchor distT="0" distB="0" distL="0" distR="0" simplePos="0" relativeHeight="251658240" behindDoc="1" locked="0" layoutInCell="0" allowOverlap="1" wp14:anchorId="7B8D12B7" wp14:editId="6E13DF87">
              <wp:simplePos x="0" y="0"/>
              <wp:positionH relativeFrom="page">
                <wp:align>right</wp:align>
              </wp:positionH>
              <wp:positionV relativeFrom="page">
                <wp:align>bottom</wp:align>
              </wp:positionV>
              <wp:extent cx="2200000" cy="350000"/>
              <wp:effectExtent l="0" t="0" r="0" b="0"/>
              <wp:wrapNone/>
              <wp:docPr id="2" name="Watermark"/>
              <wp:cNvGraphicFramePr/>
              <a:graphic xmlns:a="http://schemas.openxmlformats.org/drawingml/2006/main">
                <a:graphicData uri="http://schemas.microsoft.com/office/word/2010/wordprocessingShape">
                  <wps:wsp>
                    <wps:cNvSpPr txBox="1"/>
                    <wps:spPr>
                      <a:xfrm>
                        <a:off x="0" y="0"/>
                        <a:ext cx="2200000" cy="350000"/>
                      </a:xfrm>
                      <a:prstGeom prst="rect">
                        <a:avLst/>
                      </a:prstGeom>
                      <a:noFill/>
                      <a:ln>
                        <a:noFill/>
                      </a:ln>
                    </wps:spPr>
                    <wps:txbx>
                      <w:txbxContent>
                        <w:p w14:paraId="0B73315C" w14:textId="77777777" w:rsidR="008A6F2D" w:rsidRDefault="00000000">
                          <w:pPr>
                            <w:jc w:val="right"/>
                          </w:pPr>
                          <w:r>
                            <w:rPr>
                              <w:rFonts w:ascii="Arial" w:eastAsia="宋体" w:hAnsi="Arial"/>
                              <w:color w:val="808080"/>
                              <w:sz w:val="32"/>
                              <w:szCs w:val="32"/>
                              <w14:textFill>
                                <w14:solidFill>
                                  <w14:srgbClr w14:val="808080">
                                    <w14:alpha w14:val="19999"/>
                                  </w14:srgbClr>
                                </w14:solidFill>
                              </w14:textFill>
                            </w:rPr>
                            <w:t>Generated by TRAE AI</w:t>
                          </w:r>
                        </w:p>
                      </w:txbxContent>
                    </wps:txbx>
                    <wps:bodyPr wrap="square" lIns="0" tIns="0" rIns="91440" bIns="45720" anchor="b" anchorCtr="0"/>
                  </wps:wsp>
                </a:graphicData>
              </a:graphic>
            </wp:anchor>
          </w:drawing>
        </mc:Choice>
        <mc:Fallback>
          <w:pict>
            <v:shapetype w14:anchorId="7B8D12B7" id="_x0000_t202" coordsize="21600,21600" o:spt="202" path="m,l,21600r21600,l21600,xe">
              <v:stroke joinstyle="miter"/>
              <v:path gradientshapeok="t" o:connecttype="rect"/>
            </v:shapetype>
            <v:shape id="Watermark" o:spid="_x0000_s1026" type="#_x0000_t202" style="position:absolute;left:0;text-align:left;margin-left:122.05pt;margin-top:0;width:173.25pt;height:27.55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" o:allowincell="f" filled="f" stroked="f">
              <v:textbox inset="0,0">
                <w:txbxContent>
                  <w:p w14:paraId="0B73315C" w14:textId="77777777" w:rsidR="008A6F2D" w:rsidRDefault="00000000">
                    <w:pPr>
                      <w:jc w:val="right"/>
                    </w:pPr>
                    <w:r>
                      <w:rPr>
                        <w:rFonts w:ascii="Arial" w:eastAsia="宋体" w:hAnsi="Arial"/>
                        <w:color w:val="808080"/>
                        <w:sz w:val="32"/>
                        <w:szCs w:val="32"/>
                        <w14:textFill>
                          <w14:solidFill>
                            <w14:srgbClr w14:val="808080">
                              <w14:alpha w14:val="19999"/>
                            </w14:srgbClr>
                          </w14:solidFill>
                        </w14:textFill>
                      </w:rPr>
                      <w:t>Generated by TRAE AI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2CCD"/>
    <w:multiLevelType w:val="hybridMultilevel"/>
    <w:tmpl w:val="C83C2746"/>
    <w:lvl w:ilvl="0" w:tplc="FE3849B6">
      <w:start w:val="1"/>
      <w:numFmt w:val="bullet"/>
      <w:lvlText w:val="●"/>
      <w:lvlJc w:val="left"/>
      <w:pPr>
        <w:ind w:left="720" w:hanging="360"/>
      </w:pPr>
    </w:lvl>
    <w:lvl w:ilvl="1" w:tplc="2FD8FE26">
      <w:start w:val="1"/>
      <w:numFmt w:val="bullet"/>
      <w:lvlText w:val="○"/>
      <w:lvlJc w:val="left"/>
      <w:pPr>
        <w:ind w:left="1440" w:hanging="360"/>
      </w:pPr>
    </w:lvl>
    <w:lvl w:ilvl="2" w:tplc="9B3CC024">
      <w:start w:val="1"/>
      <w:numFmt w:val="bullet"/>
      <w:lvlText w:val="■"/>
      <w:lvlJc w:val="left"/>
      <w:pPr>
        <w:ind w:left="2160" w:hanging="360"/>
      </w:pPr>
    </w:lvl>
    <w:lvl w:ilvl="3" w:tplc="A0C29FD6">
      <w:start w:val="1"/>
      <w:numFmt w:val="bullet"/>
      <w:lvlText w:val="●"/>
      <w:lvlJc w:val="left"/>
      <w:pPr>
        <w:ind w:left="2880" w:hanging="360"/>
      </w:pPr>
    </w:lvl>
    <w:lvl w:ilvl="4" w:tplc="59E61F02">
      <w:start w:val="1"/>
      <w:numFmt w:val="bullet"/>
      <w:lvlText w:val="○"/>
      <w:lvlJc w:val="left"/>
      <w:pPr>
        <w:ind w:left="3600" w:hanging="360"/>
      </w:pPr>
    </w:lvl>
    <w:lvl w:ilvl="5" w:tplc="FF9E1A3C">
      <w:start w:val="1"/>
      <w:numFmt w:val="bullet"/>
      <w:lvlText w:val="■"/>
      <w:lvlJc w:val="left"/>
      <w:pPr>
        <w:ind w:left="4320" w:hanging="360"/>
      </w:pPr>
    </w:lvl>
    <w:lvl w:ilvl="6" w:tplc="F0DA794A">
      <w:start w:val="1"/>
      <w:numFmt w:val="bullet"/>
      <w:lvlText w:val="●"/>
      <w:lvlJc w:val="left"/>
      <w:pPr>
        <w:ind w:left="5040" w:hanging="360"/>
      </w:pPr>
    </w:lvl>
    <w:lvl w:ilvl="7" w:tplc="6E0C46FA">
      <w:start w:val="1"/>
      <w:numFmt w:val="bullet"/>
      <w:lvlText w:val="●"/>
      <w:lvlJc w:val="left"/>
      <w:pPr>
        <w:ind w:left="5760" w:hanging="360"/>
      </w:pPr>
    </w:lvl>
    <w:lvl w:ilvl="8" w:tplc="7982E814">
      <w:start w:val="1"/>
      <w:numFmt w:val="bullet"/>
      <w:lvlText w:val="●"/>
      <w:lvlJc w:val="left"/>
      <w:pPr>
        <w:ind w:left="6480" w:hanging="360"/>
      </w:pPr>
    </w:lvl>
  </w:abstractNum>
  <w:abstractNum w:abstractNumId="1" w15:restartNumberingAfterBreak="0">
    <w:nsid w:val="1DF6177F"/>
    <w:multiLevelType w:val="hybridMultilevel"/>
    <w:tmpl w:val="1E284CAE"/>
    <w:lvl w:ilvl="0" w:tplc="0E38F100">
      <w:start w:val="1"/>
      <w:numFmt w:val="decimal"/>
      <w:pStyle w:val="1"/>
      <w:lvlText w:val="%1."/>
      <w:lvlJc w:val="left"/>
      <w:pPr>
        <w:ind w:left="0" w:hanging="432"/>
      </w:pPr>
    </w:lvl>
    <w:lvl w:ilvl="1" w:tplc="50F42EC6">
      <w:numFmt w:val="decimal"/>
      <w:lvlText w:val=""/>
      <w:lvlJc w:val="left"/>
    </w:lvl>
    <w:lvl w:ilvl="2" w:tplc="BD4CB67E">
      <w:numFmt w:val="decimal"/>
      <w:lvlText w:val=""/>
      <w:lvlJc w:val="left"/>
    </w:lvl>
    <w:lvl w:ilvl="3" w:tplc="79D096A2">
      <w:numFmt w:val="decimal"/>
      <w:lvlText w:val=""/>
      <w:lvlJc w:val="left"/>
    </w:lvl>
    <w:lvl w:ilvl="4" w:tplc="715C6C62">
      <w:numFmt w:val="decimal"/>
      <w:lvlText w:val=""/>
      <w:lvlJc w:val="left"/>
    </w:lvl>
    <w:lvl w:ilvl="5" w:tplc="534AC35E">
      <w:numFmt w:val="decimal"/>
      <w:lvlText w:val=""/>
      <w:lvlJc w:val="left"/>
    </w:lvl>
    <w:lvl w:ilvl="6" w:tplc="748CB0AE">
      <w:numFmt w:val="decimal"/>
      <w:lvlText w:val=""/>
      <w:lvlJc w:val="left"/>
    </w:lvl>
    <w:lvl w:ilvl="7" w:tplc="705624A2">
      <w:numFmt w:val="decimal"/>
      <w:lvlText w:val=""/>
      <w:lvlJc w:val="left"/>
    </w:lvl>
    <w:lvl w:ilvl="8" w:tplc="DD9AFD28">
      <w:numFmt w:val="decimal"/>
      <w:lvlText w:val=""/>
      <w:lvlJc w:val="left"/>
    </w:lvl>
  </w:abstractNum>
  <w:num w:numId="1" w16cid:durableId="957832758">
    <w:abstractNumId w:val="0"/>
    <w:lvlOverride w:ilvl="0">
      <w:startOverride w:val="1"/>
    </w:lvlOverride>
  </w:num>
  <w:num w:numId="2" w16cid:durableId="6823158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2D"/>
    <w:rsid w:val="00002B2D"/>
    <w:rsid w:val="00396953"/>
    <w:rsid w:val="003D21A0"/>
    <w:rsid w:val="006229FC"/>
    <w:rsid w:val="00667641"/>
    <w:rsid w:val="007C3F65"/>
    <w:rsid w:val="008A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15F1"/>
  <w15:docId w15:val="{888A946A-8280-43DB-A7A4-8065E86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5" w:line="252" w:lineRule="auto"/>
      <w:jc w:val="both"/>
    </w:pPr>
  </w:style>
  <w:style w:type="paragraph" w:styleId="1">
    <w:name w:val="heading 1"/>
    <w:basedOn w:val="a"/>
    <w:next w:val="a"/>
    <w:uiPriority w:val="9"/>
    <w:qFormat/>
    <w:pPr>
      <w:numPr>
        <w:numId w:val="2"/>
      </w:numPr>
      <w:spacing w:before="120" w:after="60" w:line="220" w:lineRule="auto"/>
      <w:outlineLvl w:val="0"/>
    </w:pPr>
    <w:rPr>
      <w:rFonts w:eastAsia="Times New Roman"/>
      <w:b/>
      <w:bCs/>
      <w:sz w:val="28"/>
      <w:szCs w:val="28"/>
    </w:rPr>
  </w:style>
  <w:style w:type="paragraph" w:styleId="2">
    <w:name w:val="heading 2"/>
    <w:basedOn w:val="a"/>
    <w:next w:val="a"/>
    <w:uiPriority w:val="9"/>
    <w:semiHidden/>
    <w:unhideWhenUsed/>
    <w:qFormat/>
    <w:pPr>
      <w:outlineLvl w:val="1"/>
    </w:pPr>
    <w:rPr>
      <w:color w:val="2E74B5"/>
      <w:sz w:val="26"/>
      <w:szCs w:val="26"/>
    </w:rPr>
  </w:style>
  <w:style w:type="paragraph" w:styleId="3">
    <w:name w:val="heading 3"/>
    <w:basedOn w:val="a"/>
    <w:next w:val="a"/>
    <w:uiPriority w:val="9"/>
    <w:semiHidden/>
    <w:unhideWhenUsed/>
    <w:qFormat/>
    <w:pPr>
      <w:outlineLvl w:val="2"/>
    </w:pPr>
    <w:rPr>
      <w:color w:val="1F4D78"/>
      <w:sz w:val="24"/>
      <w:szCs w:val="24"/>
    </w:rPr>
  </w:style>
  <w:style w:type="paragraph" w:styleId="4">
    <w:name w:val="heading 4"/>
    <w:basedOn w:val="a"/>
    <w:next w:val="a"/>
    <w:uiPriority w:val="9"/>
    <w:semiHidden/>
    <w:unhideWhenUsed/>
    <w:qFormat/>
    <w:pPr>
      <w:outlineLvl w:val="3"/>
    </w:pPr>
    <w:rPr>
      <w:i/>
      <w:iCs/>
      <w:color w:val="2E74B5"/>
    </w:rPr>
  </w:style>
  <w:style w:type="paragraph" w:styleId="5">
    <w:name w:val="heading 5"/>
    <w:basedOn w:val="a"/>
    <w:next w:val="a"/>
    <w:uiPriority w:val="9"/>
    <w:semiHidden/>
    <w:unhideWhenUsed/>
    <w:qFormat/>
    <w:pPr>
      <w:outlineLvl w:val="4"/>
    </w:pPr>
    <w:rPr>
      <w:color w:val="2E74B5"/>
    </w:rPr>
  </w:style>
  <w:style w:type="paragraph" w:styleId="6">
    <w:name w:val="heading 6"/>
    <w:basedOn w:val="a"/>
    <w:next w:val="a"/>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Pr>
      <w:sz w:val="56"/>
      <w:szCs w:val="56"/>
    </w:rPr>
  </w:style>
  <w:style w:type="paragraph" w:customStyle="1" w:styleId="10">
    <w:name w:val="要点1"/>
    <w:basedOn w:val="a"/>
    <w:next w:val="a"/>
    <w:qFormat/>
    <w:rPr>
      <w:b/>
      <w:bCs/>
    </w:rPr>
  </w:style>
  <w:style w:type="paragraph" w:styleId="a4">
    <w:name w:val="List Paragraph"/>
    <w:basedOn w:val="a"/>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basedOn w:val="a"/>
    <w:link w:val="a8"/>
    <w:uiPriority w:val="99"/>
    <w:semiHidden/>
    <w:unhideWhenUsed/>
    <w:pPr>
      <w:spacing w:after="0" w:line="240" w:lineRule="auto"/>
    </w:pPr>
    <w:rPr>
      <w:sz w:val="20"/>
      <w:szCs w:val="20"/>
    </w:rPr>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basedOn w:val="a"/>
    <w:link w:val="ab"/>
    <w:uiPriority w:val="99"/>
    <w:semiHidden/>
    <w:unhideWhenUsed/>
    <w:pPr>
      <w:spacing w:after="0" w:line="240" w:lineRule="auto"/>
    </w:pPr>
    <w:rPr>
      <w:sz w:val="20"/>
      <w:szCs w:val="20"/>
    </w:rPr>
  </w:style>
  <w:style w:type="character" w:customStyle="1" w:styleId="ab">
    <w:name w:val="尾注文本 字符"/>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1888</Words>
  <Characters>10764</Characters>
  <Application>Microsoft Office Word</Application>
  <DocSecurity>0</DocSecurity>
  <Lines>89</Lines>
  <Paragraphs>25</Paragraphs>
  <ScaleCrop>false</ScaleCrop>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航宇 刘</cp:lastModifiedBy>
  <cp:revision>2</cp:revision>
  <dcterms:created xsi:type="dcterms:W3CDTF">2026-05-02T05:24:00Z</dcterms:created>
  <dcterms:modified xsi:type="dcterms:W3CDTF">2026-05-02T05:39:00Z</dcterms:modified>
</cp:coreProperties>
</file>