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rFonts w:ascii="Times New Roman" w:hAnsi="Times New Roman"/>
          <w:b/>
          <w:sz w:val="36"/>
        </w:rPr>
        <w:t>DTS307TC Reinforcement Learning</w:t>
      </w:r>
    </w:p>
    <w:p>
      <w:pPr>
        <w:jc w:val="center"/>
      </w:pPr>
      <w:r>
        <w:rPr>
          <w:rFonts w:ascii="Times New Roman" w:hAnsi="Times New Roman"/>
          <w:b/>
          <w:sz w:val="32"/>
        </w:rPr>
        <w:t>Coursework 1 — Individual Report</w:t>
      </w:r>
    </w:p>
    <w:p/>
    <w:p/>
    <w:p>
      <w:pPr>
        <w:jc w:val="center"/>
      </w:pPr>
      <w:r>
        <w:rPr>
          <w:rFonts w:ascii="Times New Roman" w:hAnsi="Times New Roman"/>
          <w:i/>
          <w:sz w:val="28"/>
        </w:rPr>
        <w:t>From-Scratch PPO on CarRacing-v3</w:t>
      </w:r>
    </w:p>
    <w:p/>
    <w:p/>
    <w:p/>
    <w:tbl>
      <w:tblPr>
        <w:tblW w:type="auto" w:w="0"/>
        <w:jc w:val="center"/>
        <w:tblLayout w:type="fixed"/>
        <w:tblLook w:firstColumn="1" w:firstRow="1" w:lastColumn="0" w:lastRow="0" w:noHBand="0" w:noVBand="1" w:val="04A0"/>
      </w:tblPr>
      <w:tblGrid>
        <w:gridCol w:w="2835"/>
        <w:gridCol w:w="4535"/>
      </w:tblGrid>
      <w:tr>
        <w:tc>
          <w:tcPr>
            <w:tcW w:type="dxa" w:w="4703"/>
          </w:tcPr>
          <w:p>
            <w:r>
              <w:rPr>
                <w:rFonts w:ascii="Times New Roman" w:hAnsi="Times New Roman"/>
                <w:b/>
                <w:sz w:val="24"/>
              </w:rPr>
              <w:t>Student ID:</w:t>
            </w:r>
          </w:p>
        </w:tc>
        <w:tc>
          <w:tcPr>
            <w:tcW w:type="dxa" w:w="4703"/>
          </w:tcPr>
          <w:p>
            <w:r>
              <w:rPr>
                <w:rFonts w:ascii="Times New Roman" w:hAnsi="Times New Roman"/>
                <w:sz w:val="24"/>
              </w:rPr>
              <w:t>[FILL IN YOUR STUDENT ID]</w:t>
            </w:r>
          </w:p>
        </w:tc>
      </w:tr>
      <w:tr>
        <w:tc>
          <w:tcPr>
            <w:tcW w:type="dxa" w:w="4703"/>
          </w:tcPr>
          <w:p>
            <w:r>
              <w:rPr>
                <w:rFonts w:ascii="Times New Roman" w:hAnsi="Times New Roman"/>
                <w:b/>
                <w:sz w:val="24"/>
              </w:rPr>
              <w:t>Name:</w:t>
            </w:r>
          </w:p>
        </w:tc>
        <w:tc>
          <w:tcPr>
            <w:tcW w:type="dxa" w:w="4703"/>
          </w:tcPr>
          <w:p>
            <w:r>
              <w:rPr>
                <w:rFonts w:ascii="Times New Roman" w:hAnsi="Times New Roman"/>
                <w:sz w:val="24"/>
              </w:rPr>
              <w:t>[FILL IN YOUR NAME]</w:t>
            </w:r>
          </w:p>
        </w:tc>
      </w:tr>
      <w:tr>
        <w:tc>
          <w:tcPr>
            <w:tcW w:type="dxa" w:w="4703"/>
          </w:tcPr>
          <w:p>
            <w:r>
              <w:rPr>
                <w:rFonts w:ascii="Times New Roman" w:hAnsi="Times New Roman"/>
                <w:b/>
                <w:sz w:val="24"/>
              </w:rPr>
              <w:t>Submission Date:</w:t>
            </w:r>
          </w:p>
        </w:tc>
        <w:tc>
          <w:tcPr>
            <w:tcW w:type="dxa" w:w="4703"/>
          </w:tcPr>
          <w:p>
            <w:r>
              <w:rPr>
                <w:rFonts w:ascii="Times New Roman" w:hAnsi="Times New Roman"/>
                <w:sz w:val="24"/>
              </w:rPr>
              <w:t>May 2026</w:t>
            </w:r>
          </w:p>
        </w:tc>
      </w:tr>
      <w:tr>
        <w:tc>
          <w:tcPr>
            <w:tcW w:type="dxa" w:w="4703"/>
          </w:tcPr>
          <w:p>
            <w:r>
              <w:rPr>
                <w:rFonts w:ascii="Times New Roman" w:hAnsi="Times New Roman"/>
                <w:b/>
                <w:sz w:val="24"/>
              </w:rPr>
              <w:t>Word Count:</w:t>
            </w:r>
          </w:p>
        </w:tc>
        <w:tc>
          <w:tcPr>
            <w:tcW w:type="dxa" w:w="4703"/>
          </w:tcPr>
          <w:p>
            <w:r>
              <w:rPr>
                <w:rFonts w:ascii="Times New Roman" w:hAnsi="Times New Roman"/>
                <w:sz w:val="24"/>
              </w:rPr>
              <w:t>[FILL IN AFTER WRITING]</w:t>
            </w:r>
          </w:p>
        </w:tc>
      </w:tr>
    </w:tbl>
    <w:p/>
    <w:p/>
    <w:p/>
    <w:p>
      <w:pPr>
        <w:jc w:val="center"/>
      </w:pPr>
      <w:r>
        <w:rPr>
          <w:rFonts w:ascii="Times New Roman" w:hAnsi="Times New Roman"/>
          <w:i/>
          <w:sz w:val="20"/>
        </w:rPr>
        <w:t>I certify that this submission is my own work, free of plagiarism and fabricated data.</w:t>
      </w:r>
    </w:p>
    <w:p>
      <w:r>
        <w:br w:type="page"/>
      </w:r>
    </w:p>
    <w:p>
      <w:pPr>
        <w:pStyle w:val="Heading1"/>
      </w:pPr>
      <w:r>
        <w:rPr>
          <w:rFonts w:ascii="Times New Roman" w:hAnsi="Times New Roman"/>
          <w:color w:val="000000"/>
          <w:sz w:val="28"/>
        </w:rPr>
        <w:t>1. Introduction</w:t>
      </w:r>
    </w:p>
    <w:p>
      <w:pPr>
        <w:spacing w:before="0" w:after="120" w:line="276" w:lineRule="auto"/>
      </w:pPr>
      <w:r>
        <w:rPr>
          <w:rFonts w:ascii="Times New Roman" w:hAnsi="Times New Roman"/>
          <w:b w:val="0"/>
          <w:i w:val="0"/>
          <w:sz w:val="22"/>
        </w:rPr>
        <w:t>Reinforcement learning (RL) is a paradigm in which an agent learns to make sequential decisions by interacting with an environment, receiving scalar reward signals as feedback. Unlike supervised learning, no labelled input-output pairs are provided; the agent must discover, through trial and error, a policy that maximises the expected cumulative discounted return. CarRacing-v3, a 2D top-down racing environment from the Gymnasium suite, is a representative pixel-input continuous-track-navigation benchmark for testing modern deep RL algorithms. The environment is procedurally generated — every reset produces a new track topology — which makes it a natural testbed for an agent's ability to generalise rather than memorise.</w:t>
      </w:r>
    </w:p>
    <w:p>
      <w:pPr>
        <w:spacing w:before="0" w:after="120" w:line="276" w:lineRule="auto"/>
      </w:pPr>
      <w:r>
        <w:rPr>
          <w:rFonts w:ascii="Times New Roman" w:hAnsi="Times New Roman"/>
          <w:b w:val="0"/>
          <w:i w:val="0"/>
          <w:sz w:val="22"/>
        </w:rPr>
        <w:t>In this coursework we implement Proximal Policy Optimization (PPO) [1] from scratch in PyTorch and train it on CarRacing-v3. We deliberately avoid Stable-Baselines3 or any reinforcement-learning-specific library in the main implementation; only PyTorch primitives, Gymnasium, OpenCV, and TensorBoard logging are permitted. Stable-Baselines3 [4] is imported solely for the comparison plot in Section 4.3.</w:t>
      </w:r>
    </w:p>
    <w:p>
      <w:pPr>
        <w:pStyle w:val="Heading2"/>
      </w:pPr>
      <w:r>
        <w:rPr>
          <w:rFonts w:ascii="Times New Roman" w:hAnsi="Times New Roman"/>
          <w:color w:val="000000"/>
          <w:sz w:val="24"/>
        </w:rPr>
        <w:t>1.1 Task Definition</w:t>
      </w:r>
    </w:p>
    <w:p>
      <w:pPr>
        <w:spacing w:before="0" w:after="120" w:line="276" w:lineRule="auto"/>
      </w:pPr>
      <w:r>
        <w:rPr>
          <w:rFonts w:ascii="Times New Roman" w:hAnsi="Times New Roman"/>
          <w:b w:val="0"/>
          <w:i w:val="0"/>
          <w:sz w:val="22"/>
        </w:rPr>
        <w:t>The agent observes the environment as a 96×96×3 RGB image (a top-down view of the car and visible track segment). After preprocessing through a frame-skip wrapper (k=4), grayscale conversion, downsampling to 84×84, and stacking the most recent 4 frames, the network input becomes a (4, 84, 84) uint8 tensor. The action space is a discrete set of five primitives: noop, steer-left, steer-right, gas, and brake. The reward signal combines a small per-frame penalty of −0.1, a positive shaping term of approximately +1000/N for each previously unvisited track tile (where N is the per-track tile count, typically 250–400), and a terminal penalty of −100 when the car drives off the track far enough to terminate the episode early.</w:t>
      </w:r>
    </w:p>
    <w:p>
      <w:pPr>
        <w:spacing w:before="0" w:after="120" w:line="276" w:lineRule="auto"/>
      </w:pPr>
      <w:r>
        <w:rPr>
          <w:rFonts w:ascii="Times New Roman" w:hAnsi="Times New Roman"/>
          <w:b w:val="0"/>
          <w:i w:val="0"/>
          <w:sz w:val="22"/>
        </w:rPr>
        <w:t>A random-action baseline averages −54.19 ± 5.29 across five episodes, confirming that a learned policy must achieve substantially positive returns to demonstrate task acquisition. The widely used solved threshold for CarRacing is 600+ (OpenAI Gym) or 700+ (Farama). Our trained agent achieves 830.17 ± 104.79 mean return over 20 unseen-seed episodes (Section 4.2), placing it firmly in the high-performing range.</w:t>
      </w:r>
    </w:p>
    <w:p>
      <w:pPr>
        <w:spacing w:before="0" w:after="120" w:line="276" w:lineRule="auto"/>
      </w:pPr>
      <w:r>
        <w:rPr>
          <w:rFonts w:ascii="Times New Roman" w:hAnsi="Times New Roman"/>
          <w:b w:val="0"/>
          <w:i w:val="0"/>
          <w:sz w:val="22"/>
        </w:rPr>
        <w:t>Section 2 derives the PPO clipped objective and Generalised Advantage Estimation. Section 3 documents the network architecture, environment preprocessing, and training pipeline. Section 4 presents and analyses the results, including a comparison with the Stable-Baselines3 baseline. Section 5 concludes with key findings on hyperparameter sensitivity and the actor-critic framework.</w:t>
      </w:r>
    </w:p>
    <w:p>
      <w:pPr>
        <w:pStyle w:val="Heading1"/>
      </w:pPr>
      <w:r>
        <w:rPr>
          <w:rFonts w:ascii="Times New Roman" w:hAnsi="Times New Roman"/>
          <w:color w:val="000000"/>
          <w:sz w:val="28"/>
        </w:rPr>
        <w:t>2. Methodology</w:t>
      </w:r>
    </w:p>
    <w:p>
      <w:pPr>
        <w:pStyle w:val="Heading2"/>
      </w:pPr>
      <w:r>
        <w:rPr>
          <w:rFonts w:ascii="Times New Roman" w:hAnsi="Times New Roman"/>
          <w:color w:val="000000"/>
          <w:sz w:val="24"/>
        </w:rPr>
        <w:t>2.1 Mathematical Foundation of PPO</w:t>
      </w:r>
    </w:p>
    <w:p>
      <w:pPr>
        <w:spacing w:before="0" w:after="120" w:line="276" w:lineRule="auto"/>
      </w:pPr>
      <w:r>
        <w:rPr>
          <w:rFonts w:ascii="Times New Roman" w:hAnsi="Times New Roman"/>
          <w:b w:val="0"/>
          <w:i w:val="0"/>
          <w:sz w:val="22"/>
        </w:rPr>
        <w:t>PPO [1] belongs to the family of policy-gradient methods. The objective is to find policy parameters θ that maximise the expected discounted return. Computing this expectation directly is intractable; PPO instead constructs a surrogate objective based on importance sampling and optimises it with mini-batch stochastic gradient ascent.</w:t>
      </w:r>
    </w:p>
    <w:p>
      <w:pPr>
        <w:spacing w:before="0" w:after="40" w:line="276" w:lineRule="auto"/>
      </w:pPr>
      <w:r>
        <w:rPr>
          <w:rFonts w:ascii="Times New Roman" w:hAnsi="Times New Roman"/>
          <w:b/>
          <w:i w:val="0"/>
          <w:sz w:val="22"/>
        </w:rPr>
        <w:t>Probability ratio.</w:t>
      </w:r>
    </w:p>
    <w:p>
      <w:pPr>
        <w:spacing w:before="0" w:after="120" w:line="276" w:lineRule="auto"/>
      </w:pPr>
      <w:r>
        <w:rPr>
          <w:rFonts w:ascii="Times New Roman" w:hAnsi="Times New Roman"/>
          <w:b w:val="0"/>
          <w:i w:val="0"/>
          <w:sz w:val="22"/>
        </w:rPr>
        <w:t>Let π_θ be the current (post-update) policy and π_θ_old the policy that produced the rollout data. The per-step probability ratio is r_t(θ) = π_θ(a_t|s_t) / π_θ_old(a_t|s_t). A ratio of 1.0 means "no change since rollout"; values far from 1 indicate that the policy has shifted aggressively, which can destabilise training.</w:t>
      </w:r>
    </w:p>
    <w:p>
      <w:pPr>
        <w:jc w:val="center"/>
      </w:pPr>
      <m:oMathPara>
        <m:oMathParaPr>
          <m:jc m:val="center"/>
        </m:oMathParaPr>
        <m:oMath>
          <m:sSub>
            <m:e>
              <m:r>
                <m:t>r</m:t>
              </m:r>
            </m:e>
            <m:sub>
              <m:r>
                <m:t>t</m:t>
              </m:r>
            </m:sub>
          </m:sSub>
          <m:r>
            <m:t>(θ) = </m:t>
          </m:r>
          <m:f>
            <m:num>
              <m:sSub>
                <m:e>
                  <m:r>
                    <m:t>π</m:t>
                  </m:r>
                </m:e>
                <m:sub>
                  <m:r>
                    <m:t>θ</m:t>
                  </m:r>
                </m:sub>
              </m:sSub>
              <m:r>
                <m:t>(</m:t>
              </m:r>
              <m:sSub>
                <m:e>
                  <m:r>
                    <m:t>a</m:t>
                  </m:r>
                </m:e>
                <m:sub>
                  <m:r>
                    <m:t>t</m:t>
                  </m:r>
                </m:sub>
              </m:sSub>
              <m:r>
                <m:t>|</m:t>
              </m:r>
              <m:sSub>
                <m:e>
                  <m:r>
                    <m:t>s</m:t>
                  </m:r>
                </m:e>
                <m:sub>
                  <m:r>
                    <m:t>t</m:t>
                  </m:r>
                </m:sub>
              </m:sSub>
              <m:r>
                <m:t>)</m:t>
              </m:r>
            </m:num>
            <m:den>
              <m:sSub>
                <m:e>
                  <m:r>
                    <m:t>π</m:t>
                  </m:r>
                </m:e>
                <m:sub>
                  <m:r>
                    <m:t>θ_old</m:t>
                  </m:r>
                </m:sub>
              </m:sSub>
              <m:r>
                <m:t>(</m:t>
              </m:r>
              <m:sSub>
                <m:e>
                  <m:r>
                    <m:t>a</m:t>
                  </m:r>
                </m:e>
                <m:sub>
                  <m:r>
                    <m:t>t</m:t>
                  </m:r>
                </m:sub>
              </m:sSub>
              <m:r>
                <m:t>|</m:t>
              </m:r>
              <m:sSub>
                <m:e>
                  <m:r>
                    <m:t>s</m:t>
                  </m:r>
                </m:e>
                <m:sub>
                  <m:r>
                    <m:t>t</m:t>
                  </m:r>
                </m:sub>
              </m:sSub>
              <m:r>
                <m:t>)</m:t>
              </m:r>
            </m:den>
          </m:f>
        </m:oMath>
      </m:oMathPara>
      <w:r>
        <w:t xml:space="preserve">    (1)</w:t>
      </w:r>
    </w:p>
    <w:p>
      <w:pPr>
        <w:spacing w:before="0" w:after="40" w:line="276" w:lineRule="auto"/>
      </w:pPr>
      <w:r>
        <w:rPr>
          <w:rFonts w:ascii="Times New Roman" w:hAnsi="Times New Roman"/>
          <w:b/>
          <w:i w:val="0"/>
          <w:sz w:val="22"/>
        </w:rPr>
        <w:t>Clipped surrogate.</w:t>
      </w:r>
    </w:p>
    <w:p>
      <w:pPr>
        <w:spacing w:before="0" w:after="120" w:line="276" w:lineRule="auto"/>
      </w:pPr>
      <w:r>
        <w:rPr>
          <w:rFonts w:ascii="Times New Roman" w:hAnsi="Times New Roman"/>
          <w:b w:val="0"/>
          <w:i w:val="0"/>
          <w:sz w:val="22"/>
        </w:rPr>
        <w:t>PPO maximises the clipped surrogate L^CLIP(θ) defined as the expectation of min(r·A, clip(r, 1-ε, 1+ε)·A). The min-clip construction acts as a pessimistic lower bound: when the advantage A_t is positive, the ratio is upper-bounded at 1+ε; when it is negative, the ratio is lower-bounded at 1-ε. This discourages policy updates that would deviate too far from the rollout policy, preventing the catastrophic performance collapse sometimes observed in vanilla policy gradients. We use the standard ε = 0.2 from the original paper.</w:t>
      </w:r>
    </w:p>
    <w:p>
      <w:pPr>
        <w:jc w:val="center"/>
      </w:pPr>
      <m:oMathPara>
        <m:oMathParaPr>
          <m:jc m:val="center"/>
        </m:oMathParaPr>
        <m:oMath>
          <m:sSup>
            <m:e>
              <m:r>
                <m:t>L</m:t>
              </m:r>
            </m:e>
            <m:sup>
              <m:r>
                <m:t>CLIP</m:t>
              </m:r>
            </m:sup>
          </m:sSup>
          <m:r>
            <m:t>(θ) = </m:t>
          </m:r>
          <m:sSub>
            <m:e>
              <m:r>
                <m:t>𝔼</m:t>
              </m:r>
            </m:e>
            <m:sub>
              <m:r>
                <m:t>t</m:t>
              </m:r>
            </m:sub>
          </m:sSub>
          <m:r>
            <m:t>[ min(</m:t>
          </m:r>
          <m:sSub>
            <m:e>
              <m:r>
                <m:t>r</m:t>
              </m:r>
            </m:e>
            <m:sub>
              <m:r>
                <m:t>t</m:t>
              </m:r>
            </m:sub>
          </m:sSub>
          <m:r>
            <m:t>(θ)</m:t>
          </m:r>
          <m:sSub>
            <m:e>
              <m:r>
                <m:t>A</m:t>
              </m:r>
            </m:e>
            <m:sub>
              <m:r>
                <m:t>t</m:t>
              </m:r>
            </m:sub>
          </m:sSub>
          <m:r>
            <m:t>, clip(</m:t>
          </m:r>
          <m:sSub>
            <m:e>
              <m:r>
                <m:t>r</m:t>
              </m:r>
            </m:e>
            <m:sub>
              <m:r>
                <m:t>t</m:t>
              </m:r>
            </m:sub>
          </m:sSub>
          <m:r>
            <m:t>(θ), 1-ε, 1+ε)</m:t>
          </m:r>
          <m:sSub>
            <m:e>
              <m:r>
                <m:t>A</m:t>
              </m:r>
            </m:e>
            <m:sub>
              <m:r>
                <m:t>t</m:t>
              </m:r>
            </m:sub>
          </m:sSub>
          <m:r>
            <m:t>)]</m:t>
          </m:r>
        </m:oMath>
      </m:oMathPara>
      <w:r>
        <w:t xml:space="preserve">    (2)</w:t>
      </w:r>
    </w:p>
    <w:p>
      <w:pPr>
        <w:spacing w:before="0" w:after="40" w:line="276" w:lineRule="auto"/>
      </w:pPr>
      <w:r>
        <w:rPr>
          <w:rFonts w:ascii="Times New Roman" w:hAnsi="Times New Roman"/>
          <w:b/>
          <w:i w:val="0"/>
          <w:sz w:val="22"/>
        </w:rPr>
        <w:t>Combined loss.</w:t>
      </w:r>
    </w:p>
    <w:p>
      <w:pPr>
        <w:spacing w:before="0" w:after="120" w:line="276" w:lineRule="auto"/>
      </w:pPr>
      <w:r>
        <w:rPr>
          <w:rFonts w:ascii="Times New Roman" w:hAnsi="Times New Roman"/>
          <w:b w:val="0"/>
          <w:i w:val="0"/>
          <w:sz w:val="22"/>
        </w:rPr>
        <w:t>The full per-batch objective minimised by Adam is L = -L^CLIP + c1·L^VF − c2·H[π], where L^VF is the value-function MSE between the critic prediction and the GAE-derived value targets, and H[π] is the policy entropy that acts as an exploration regulariser. We set c1 = 0.5 and anneal c2 linearly from 0.01 to a floor of 0.005 over training (Section 3.3 motivates the floor).</w:t>
      </w:r>
    </w:p>
    <w:p>
      <w:pPr>
        <w:pStyle w:val="Heading2"/>
      </w:pPr>
      <w:r>
        <w:rPr>
          <w:rFonts w:ascii="Times New Roman" w:hAnsi="Times New Roman"/>
          <w:color w:val="000000"/>
          <w:sz w:val="24"/>
        </w:rPr>
        <w:t>2.2 Generalised Advantage Estimation</w:t>
      </w:r>
    </w:p>
    <w:p>
      <w:pPr>
        <w:spacing w:before="0" w:after="120" w:line="276" w:lineRule="auto"/>
      </w:pPr>
      <w:r>
        <w:rPr>
          <w:rFonts w:ascii="Times New Roman" w:hAnsi="Times New Roman"/>
          <w:b w:val="0"/>
          <w:i w:val="0"/>
          <w:sz w:val="22"/>
        </w:rPr>
        <w:t>Two extreme advantage estimators bracket the bias–variance trade-off. The one-step temporal-difference (TD) estimator δ_t = r_t + γV(s_{t+1}) − V(s_t) has low variance but high bias when V is inaccurate. The Monte-Carlo estimator (sum of discounted future rewards minus V(s_t)) is unbiased but suffers high variance due to the cumulative reward sum.</w:t>
      </w:r>
    </w:p>
    <w:p>
      <w:pPr>
        <w:spacing w:before="0" w:after="120" w:line="276" w:lineRule="auto"/>
      </w:pPr>
      <w:r>
        <w:rPr>
          <w:rFonts w:ascii="Times New Roman" w:hAnsi="Times New Roman"/>
          <w:b w:val="0"/>
          <w:i w:val="0"/>
          <w:sz w:val="22"/>
        </w:rPr>
        <w:t>Generalised Advantage Estimation (GAE) [2] interpolates between the two via an exponentially weighted average controlled by λ ∈ [0, 1]. We compute the advantage recursively backwards over the rollout:</w:t>
      </w:r>
    </w:p>
    <w:p>
      <w:pPr>
        <w:jc w:val="center"/>
      </w:pPr>
      <m:oMathPara>
        <m:oMathParaPr>
          <m:jc m:val="center"/>
        </m:oMathParaPr>
        <m:oMath>
          <m:acc>
            <m:accPr>
              <m:chr m:val="̂"/>
            </m:accPr>
            <m:e>
              <m:sSub>
                <m:e>
                  <m:r>
                    <m:t>A</m:t>
                  </m:r>
                </m:e>
                <m:sub>
                  <m:r>
                    <m:t>t</m:t>
                  </m:r>
                </m:sub>
              </m:sSub>
            </m:e>
          </m:acc>
          <m:r>
            <m:t> = </m:t>
          </m:r>
          <m:sSub>
            <m:e>
              <m:r>
                <m:t>δ</m:t>
              </m:r>
            </m:e>
            <m:sub>
              <m:r>
                <m:t>t</m:t>
              </m:r>
            </m:sub>
          </m:sSub>
          <m:r>
            <m:t> + γλ(1 - </m:t>
          </m:r>
          <m:sSub>
            <m:e>
              <m:r>
                <m:t>d</m:t>
              </m:r>
            </m:e>
            <m:sub>
              <m:r>
                <m:t>t+1</m:t>
              </m:r>
            </m:sub>
          </m:sSub>
          <m:r>
            <m:t>) </m:t>
          </m:r>
          <m:acc>
            <m:accPr>
              <m:chr m:val="̂"/>
            </m:accPr>
            <m:e>
              <m:sSub>
                <m:e>
                  <m:r>
                    <m:t>A</m:t>
                  </m:r>
                </m:e>
                <m:sub>
                  <m:r>
                    <m:t>t+1</m:t>
                  </m:r>
                </m:sub>
              </m:sSub>
            </m:e>
          </m:acc>
        </m:oMath>
      </m:oMathPara>
      <w:r>
        <w:t xml:space="preserve">    (3)</w:t>
      </w:r>
    </w:p>
    <w:p>
      <w:pPr>
        <w:spacing w:before="0" w:after="120" w:line="276" w:lineRule="auto"/>
      </w:pPr>
      <w:r>
        <w:rPr>
          <w:rFonts w:ascii="Times New Roman" w:hAnsi="Times New Roman"/>
          <w:b w:val="0"/>
          <w:i w:val="0"/>
          <w:sz w:val="22"/>
        </w:rPr>
        <w:t>with Â_{T+1} = 0 and a bootstrap value supplied by querying the critic on the post-rollout state. We use γ = 0.99 and λ = 0.95, which the original GAE paper finds optimal across a wide range of locomotion and Atari tasks. After computing advantages over a full rollout, we normalise them to zero mean and unit variance (with a 1e-8 epsilon for numerical safety). This is standard PPO practice; it stabilises gradient magnitudes across rollouts whose absolute return scales differ.</w:t>
      </w:r>
    </w:p>
    <w:p>
      <w:pPr>
        <w:pStyle w:val="Heading2"/>
      </w:pPr>
      <w:r>
        <w:rPr>
          <w:rFonts w:ascii="Times New Roman" w:hAnsi="Times New Roman"/>
          <w:color w:val="000000"/>
          <w:sz w:val="24"/>
        </w:rPr>
        <w:t>2.3 Training Pseudocode</w:t>
      </w:r>
    </w:p>
    <w:p>
      <w:pPr>
        <w:spacing w:before="0" w:after="120" w:line="276" w:lineRule="auto"/>
      </w:pPr>
      <w:r>
        <w:rPr>
          <w:rFonts w:ascii="Times New Roman" w:hAnsi="Times New Roman"/>
          <w:b w:val="0"/>
          <w:i w:val="0"/>
          <w:sz w:val="22"/>
        </w:rPr>
        <w:t>For each iteration k = 1, ..., K (with K ≈ 730 in our setup): (i) roll out 256 transitions across 8 parallel environments using π_θ_old; (ii) bootstrap V(s_{N_steps}) via the critic; (iii) compute GAE advantages and value targets, then normalise advantages; (iv) for 10 epochs, shuffle the rollout into mini-batches of size 64 and perform an Adam step on each, followed by a global gradient-norm clip at 0.5; (v) linearly decay the learning rate (toward 0) and the entropy coefficient (toward a floor of 0.005) according to overall progress. This per-iteration cycle yields ~2,048 fresh on-policy samples and performs ~320 mini-batch updates. Over 1.5M total environment steps the agent receives ~6,000 training episodes' worth of experience.</w:t>
      </w:r>
    </w:p>
    <w:p>
      <w:pPr>
        <w:pStyle w:val="Heading1"/>
      </w:pPr>
      <w:r>
        <w:rPr>
          <w:rFonts w:ascii="Times New Roman" w:hAnsi="Times New Roman"/>
          <w:color w:val="000000"/>
          <w:sz w:val="28"/>
        </w:rPr>
        <w:t>3. Implementation Details</w:t>
      </w:r>
    </w:p>
    <w:p>
      <w:pPr>
        <w:pStyle w:val="Heading2"/>
      </w:pPr>
      <w:r>
        <w:rPr>
          <w:rFonts w:ascii="Times New Roman" w:hAnsi="Times New Roman"/>
          <w:color w:val="000000"/>
          <w:sz w:val="24"/>
        </w:rPr>
        <w:t>3.1 Network Architecture</w:t>
      </w:r>
    </w:p>
    <w:p>
      <w:pPr>
        <w:spacing w:before="0" w:after="120" w:line="276" w:lineRule="auto"/>
      </w:pPr>
      <w:r>
        <w:rPr>
          <w:rFonts w:ascii="Times New Roman" w:hAnsi="Times New Roman"/>
          <w:b w:val="0"/>
          <w:i w:val="0"/>
          <w:sz w:val="22"/>
        </w:rPr>
        <w:t>The actor and critic share a CNN backbone closely modelled on the Atari DQN architecture [3]: three convolutional layers with 8×8/stride-4, 4×4/stride-2, and 3×3/stride-1 filters producing 32, 64, 64 channels respectively (each followed by ReLU), a flatten, and a fully-connected layer with 512 units. From the shared 512-dimensional feature, two heads branch off: an actor head producing 5 logits for a Categorical action distribution, and a critic head producing a scalar state value. All layers are initialised with orthogonal weights — gain √2 for hidden layers, 0.01 for the actor head (so the initial policy is approximately uniform), and 1.0 for the critic head — a practice catalogued in [5]. The total parameter count is 1,687,206 (~1.69M).</w:t>
      </w:r>
    </w:p>
    <w:p>
      <w:pPr>
        <w:spacing w:before="0" w:after="120" w:line="276" w:lineRule="auto"/>
      </w:pPr>
      <w:r>
        <w:rPr>
          <w:rFonts w:ascii="Times New Roman" w:hAnsi="Times New Roman"/>
          <w:b w:val="0"/>
          <w:i w:val="0"/>
          <w:sz w:val="22"/>
        </w:rPr>
        <w:t>Observations enter the network as uint8 tensors of shape (B, 4, 84, 84) and are normalised to float32 / 255.0 inside forward(). Keeping the rollout buffer in uint8 saves a factor of 4 in GPU memory, which is critical for vectorised rollout.</w:t>
      </w:r>
    </w:p>
    <w:p>
      <w:pPr>
        <w:jc w:val="center"/>
      </w:pPr>
      <w:r>
        <w:drawing>
          <wp:inline xmlns:a="http://schemas.openxmlformats.org/drawingml/2006/main" xmlns:pic="http://schemas.openxmlformats.org/drawingml/2006/picture">
            <wp:extent cx="5040000" cy="3112431"/>
            <wp:docPr id="1" name="Picture 1"/>
            <wp:cNvGraphicFramePr>
              <a:graphicFrameLocks noChangeAspect="1"/>
            </wp:cNvGraphicFramePr>
            <a:graphic>
              <a:graphicData uri="http://schemas.openxmlformats.org/drawingml/2006/picture">
                <pic:pic>
                  <pic:nvPicPr>
                    <pic:cNvPr id="0" name="fig_architecture.png"/>
                    <pic:cNvPicPr/>
                  </pic:nvPicPr>
                  <pic:blipFill>
                    <a:blip r:embed="rId9"/>
                    <a:stretch>
                      <a:fillRect/>
                    </a:stretch>
                  </pic:blipFill>
                  <pic:spPr>
                    <a:xfrm>
                      <a:off x="0" y="0"/>
                      <a:ext cx="5040000" cy="3112431"/>
                    </a:xfrm>
                    <a:prstGeom prst="rect"/>
                  </pic:spPr>
                </pic:pic>
              </a:graphicData>
            </a:graphic>
          </wp:inline>
        </w:drawing>
      </w:r>
    </w:p>
    <w:p>
      <w:pPr>
        <w:spacing w:line="276" w:lineRule="auto" w:before="0" w:after="240"/>
        <w:jc w:val="center"/>
      </w:pPr>
      <w:r>
        <w:rPr>
          <w:rFonts w:ascii="Times New Roman" w:hAnsi="Times New Roman"/>
          <w:i/>
          <w:sz w:val="20"/>
        </w:rPr>
        <w:t>Fig. 1: Shared-CNN actor-critic architecture. Input shape (4, 84, 84) uint8 → CNN backbone (~1.6M params) → 512-D feature → separate actor and critic heads.</w:t>
      </w:r>
    </w:p>
    <w:p>
      <w:pPr>
        <w:pStyle w:val="Heading2"/>
      </w:pPr>
      <w:r>
        <w:rPr>
          <w:rFonts w:ascii="Times New Roman" w:hAnsi="Times New Roman"/>
          <w:color w:val="000000"/>
          <w:sz w:val="24"/>
        </w:rPr>
        <w:t>3.2 Environment Preprocessing</w:t>
      </w:r>
    </w:p>
    <w:p>
      <w:pPr>
        <w:spacing w:before="0" w:after="120" w:line="276" w:lineRule="auto"/>
      </w:pPr>
      <w:r>
        <w:rPr>
          <w:rFonts w:ascii="Times New Roman" w:hAnsi="Times New Roman"/>
          <w:b w:val="0"/>
          <w:i w:val="0"/>
          <w:sz w:val="22"/>
        </w:rPr>
        <w:t>We stack three Gymnasium wrappers around the raw CarRacing-v3 environment, applied innermost-first: SkipFrame(k=4) repeats each policy action for 4 environment frames and accumulates rewards, reducing decision frequency to a level appropriate for control tasks; GrayScaleResize(84) converts the RGB observation to single-channel grayscale via OpenCV (cv2.COLOR_RGB2GRAY) and downsamples to 84×84 with area interpolation; FrameStack(k=4) concatenates the most recent 4 grayscale frames along a new leading axis, giving the network the motion information necessary to estimate velocity and steering rate. The final observation passed to the agent is a (4, 84, 84) uint8 tensor — an order of magnitude smaller than the original (96, 96, 3) frame.</w:t>
      </w:r>
    </w:p>
    <w:p>
      <w:pPr>
        <w:pStyle w:val="Heading2"/>
      </w:pPr>
      <w:r>
        <w:rPr>
          <w:rFonts w:ascii="Times New Roman" w:hAnsi="Times New Roman"/>
          <w:color w:val="000000"/>
          <w:sz w:val="24"/>
        </w:rPr>
        <w:t>3.3 Training Process and Hyperparameters</w:t>
      </w:r>
    </w:p>
    <w:p>
      <w:pPr>
        <w:spacing w:before="0" w:after="120" w:line="276" w:lineRule="auto"/>
      </w:pPr>
      <w:r>
        <w:rPr>
          <w:rFonts w:ascii="Times New Roman" w:hAnsi="Times New Roman"/>
          <w:b w:val="0"/>
          <w:i w:val="0"/>
          <w:sz w:val="22"/>
        </w:rPr>
        <w:t>We use Gymnasium's AsyncVectorEnv to run 8 parallel copies of the environment in separate worker processes. Each iteration collects 8 × 256 = 2,048 fresh on-policy transitions, computes GAE, and performs 10 update epochs over mini-batches of size 64. The shared rollout buffer holds all transitions in uint8, with advantages and returns computed in float32 after the rollout completes.</w:t>
      </w:r>
    </w:p>
    <w:p>
      <w:pPr>
        <w:spacing w:before="0" w:after="120" w:line="276" w:lineRule="auto"/>
      </w:pPr>
      <w:r>
        <w:rPr>
          <w:rFonts w:ascii="Times New Roman" w:hAnsi="Times New Roman"/>
          <w:b w:val="0"/>
          <w:i w:val="0"/>
          <w:sz w:val="22"/>
        </w:rPr>
        <w:t>The Adam optimiser uses η = 2.5×10⁻⁴ with ε_Adam = 10⁻⁵ (a known PPO refinement over the PyTorch default of 10⁻⁸). Both the learning rate and the entropy coefficient are linearly annealed based on training progress; the entropy coefficient floor of 0.005 (rather than 0) preserves residual exploration, which we found to be essential for generalising to unseen track topologies (Section 4). Gradient norms are clipped at 0.5. Per-frame rewards are floored at −1.0 (i.e. the catastrophic −100 off-track penalty is rescaled to −1.0 for advantage stability), without changing the reward signal logged for evaluation.</w:t>
      </w:r>
    </w:p>
    <w:p>
      <w:pPr>
        <w:spacing w:before="0" w:after="40" w:line="276" w:lineRule="auto"/>
      </w:pPr>
      <w:r>
        <w:rPr>
          <w:rFonts w:ascii="Times New Roman" w:hAnsi="Times New Roman"/>
          <w:b w:val="0"/>
          <w:i w:val="0"/>
          <w:sz w:val="22"/>
        </w:rPr>
      </w:r>
    </w:p>
    <w:p>
      <w:pPr>
        <w:spacing w:before="0" w:after="80" w:line="276" w:lineRule="auto"/>
        <w:jc w:val="center"/>
      </w:pPr>
      <w:r>
        <w:rPr>
          <w:rFonts w:ascii="Times New Roman" w:hAnsi="Times New Roman"/>
          <w:b w:val="0"/>
          <w:i/>
          <w:sz w:val="22"/>
        </w:rPr>
        <w:t>Table 1: PPO hyperparameter summary.</w:t>
      </w:r>
    </w:p>
    <w:tbl>
      <w:tblPr>
        <w:tblStyle w:val="LightGrid"/>
        <w:tblW w:type="auto" w:w="0"/>
        <w:tblLook w:firstColumn="1" w:firstRow="1" w:lastColumn="0" w:lastRow="0" w:noHBand="0" w:noVBand="1" w:val="04A0"/>
      </w:tblPr>
      <w:tblGrid>
        <w:gridCol w:w="3135"/>
        <w:gridCol w:w="3135"/>
        <w:gridCol w:w="3135"/>
      </w:tblGrid>
      <w:tr>
        <w:tc>
          <w:tcPr>
            <w:tcW w:type="dxa" w:w="3135"/>
          </w:tcPr>
          <w:p>
            <w:r>
              <w:rPr>
                <w:rFonts w:ascii="Times New Roman" w:hAnsi="Times New Roman"/>
                <w:b/>
                <w:sz w:val="20"/>
              </w:rPr>
              <w:t>Parameter</w:t>
            </w:r>
          </w:p>
        </w:tc>
        <w:tc>
          <w:tcPr>
            <w:tcW w:type="dxa" w:w="3135"/>
          </w:tcPr>
          <w:p>
            <w:r>
              <w:rPr>
                <w:rFonts w:ascii="Times New Roman" w:hAnsi="Times New Roman"/>
                <w:b/>
                <w:sz w:val="20"/>
              </w:rPr>
              <w:t>Value</w:t>
            </w:r>
          </w:p>
        </w:tc>
        <w:tc>
          <w:tcPr>
            <w:tcW w:type="dxa" w:w="3135"/>
          </w:tcPr>
          <w:p>
            <w:r>
              <w:rPr>
                <w:rFonts w:ascii="Times New Roman" w:hAnsi="Times New Roman"/>
                <w:b/>
                <w:sz w:val="20"/>
              </w:rPr>
              <w:t>Notes</w:t>
            </w:r>
          </w:p>
        </w:tc>
      </w:tr>
      <w:tr>
        <w:tc>
          <w:tcPr>
            <w:tcW w:type="dxa" w:w="3135"/>
          </w:tcPr>
          <w:p>
            <w:r>
              <w:rPr>
                <w:rFonts w:ascii="Times New Roman" w:hAnsi="Times New Roman"/>
                <w:sz w:val="20"/>
              </w:rPr>
              <w:t>Total environment steps</w:t>
            </w:r>
          </w:p>
        </w:tc>
        <w:tc>
          <w:tcPr>
            <w:tcW w:type="dxa" w:w="3135"/>
          </w:tcPr>
          <w:p>
            <w:r>
              <w:rPr>
                <w:rFonts w:ascii="Times New Roman" w:hAnsi="Times New Roman"/>
                <w:sz w:val="20"/>
              </w:rPr>
              <w:t>1,500,000</w:t>
            </w:r>
          </w:p>
        </w:tc>
        <w:tc>
          <w:tcPr>
            <w:tcW w:type="dxa" w:w="3135"/>
          </w:tcPr>
          <w:p>
            <w:r>
              <w:rPr>
                <w:rFonts w:ascii="Times New Roman" w:hAnsi="Times New Roman"/>
                <w:sz w:val="20"/>
              </w:rPr>
            </w:r>
          </w:p>
        </w:tc>
      </w:tr>
      <w:tr>
        <w:tc>
          <w:tcPr>
            <w:tcW w:type="dxa" w:w="3135"/>
          </w:tcPr>
          <w:p>
            <w:r>
              <w:rPr>
                <w:rFonts w:ascii="Times New Roman" w:hAnsi="Times New Roman"/>
                <w:sz w:val="20"/>
              </w:rPr>
              <w:t>Parallel envs (n_envs)</w:t>
            </w:r>
          </w:p>
        </w:tc>
        <w:tc>
          <w:tcPr>
            <w:tcW w:type="dxa" w:w="3135"/>
          </w:tcPr>
          <w:p>
            <w:r>
              <w:rPr>
                <w:rFonts w:ascii="Times New Roman" w:hAnsi="Times New Roman"/>
                <w:sz w:val="20"/>
              </w:rPr>
              <w:t>8</w:t>
            </w:r>
          </w:p>
        </w:tc>
        <w:tc>
          <w:tcPr>
            <w:tcW w:type="dxa" w:w="3135"/>
          </w:tcPr>
          <w:p>
            <w:r>
              <w:rPr>
                <w:rFonts w:ascii="Times New Roman" w:hAnsi="Times New Roman"/>
                <w:sz w:val="20"/>
              </w:rPr>
              <w:t>AsyncVectorEnv</w:t>
            </w:r>
          </w:p>
        </w:tc>
      </w:tr>
      <w:tr>
        <w:tc>
          <w:tcPr>
            <w:tcW w:type="dxa" w:w="3135"/>
          </w:tcPr>
          <w:p>
            <w:r>
              <w:rPr>
                <w:rFonts w:ascii="Times New Roman" w:hAnsi="Times New Roman"/>
                <w:sz w:val="20"/>
              </w:rPr>
              <w:t>Rollout per env (n_steps)</w:t>
            </w:r>
          </w:p>
        </w:tc>
        <w:tc>
          <w:tcPr>
            <w:tcW w:type="dxa" w:w="3135"/>
          </w:tcPr>
          <w:p>
            <w:r>
              <w:rPr>
                <w:rFonts w:ascii="Times New Roman" w:hAnsi="Times New Roman"/>
                <w:sz w:val="20"/>
              </w:rPr>
              <w:t>256</w:t>
            </w:r>
          </w:p>
        </w:tc>
        <w:tc>
          <w:tcPr>
            <w:tcW w:type="dxa" w:w="3135"/>
          </w:tcPr>
          <w:p>
            <w:r>
              <w:rPr>
                <w:rFonts w:ascii="Times New Roman" w:hAnsi="Times New Roman"/>
                <w:sz w:val="20"/>
              </w:rPr>
              <w:t>2048 samples / iter</w:t>
            </w:r>
          </w:p>
        </w:tc>
      </w:tr>
      <w:tr>
        <w:tc>
          <w:tcPr>
            <w:tcW w:type="dxa" w:w="3135"/>
          </w:tcPr>
          <w:p>
            <w:r>
              <w:rPr>
                <w:rFonts w:ascii="Times New Roman" w:hAnsi="Times New Roman"/>
                <w:sz w:val="20"/>
              </w:rPr>
              <w:t>Update epochs</w:t>
            </w:r>
          </w:p>
        </w:tc>
        <w:tc>
          <w:tcPr>
            <w:tcW w:type="dxa" w:w="3135"/>
          </w:tcPr>
          <w:p>
            <w:r>
              <w:rPr>
                <w:rFonts w:ascii="Times New Roman" w:hAnsi="Times New Roman"/>
                <w:sz w:val="20"/>
              </w:rPr>
              <w:t>10</w:t>
            </w:r>
          </w:p>
        </w:tc>
        <w:tc>
          <w:tcPr>
            <w:tcW w:type="dxa" w:w="3135"/>
          </w:tcPr>
          <w:p>
            <w:r>
              <w:rPr>
                <w:rFonts w:ascii="Times New Roman" w:hAnsi="Times New Roman"/>
                <w:sz w:val="20"/>
              </w:rPr>
            </w:r>
          </w:p>
        </w:tc>
      </w:tr>
      <w:tr>
        <w:tc>
          <w:tcPr>
            <w:tcW w:type="dxa" w:w="3135"/>
          </w:tcPr>
          <w:p>
            <w:r>
              <w:rPr>
                <w:rFonts w:ascii="Times New Roman" w:hAnsi="Times New Roman"/>
                <w:sz w:val="20"/>
              </w:rPr>
              <w:t>Mini-batch size</w:t>
            </w:r>
          </w:p>
        </w:tc>
        <w:tc>
          <w:tcPr>
            <w:tcW w:type="dxa" w:w="3135"/>
          </w:tcPr>
          <w:p>
            <w:r>
              <w:rPr>
                <w:rFonts w:ascii="Times New Roman" w:hAnsi="Times New Roman"/>
                <w:sz w:val="20"/>
              </w:rPr>
              <w:t>64</w:t>
            </w:r>
          </w:p>
        </w:tc>
        <w:tc>
          <w:tcPr>
            <w:tcW w:type="dxa" w:w="3135"/>
          </w:tcPr>
          <w:p>
            <w:r>
              <w:rPr>
                <w:rFonts w:ascii="Times New Roman" w:hAnsi="Times New Roman"/>
                <w:sz w:val="20"/>
              </w:rPr>
            </w:r>
          </w:p>
        </w:tc>
      </w:tr>
      <w:tr>
        <w:tc>
          <w:tcPr>
            <w:tcW w:type="dxa" w:w="3135"/>
          </w:tcPr>
          <w:p>
            <w:r>
              <w:rPr>
                <w:rFonts w:ascii="Times New Roman" w:hAnsi="Times New Roman"/>
                <w:sz w:val="20"/>
              </w:rPr>
              <w:t>Discount γ</w:t>
            </w:r>
          </w:p>
        </w:tc>
        <w:tc>
          <w:tcPr>
            <w:tcW w:type="dxa" w:w="3135"/>
          </w:tcPr>
          <w:p>
            <w:r>
              <w:rPr>
                <w:rFonts w:ascii="Times New Roman" w:hAnsi="Times New Roman"/>
                <w:sz w:val="20"/>
              </w:rPr>
              <w:t>0.99</w:t>
            </w:r>
          </w:p>
        </w:tc>
        <w:tc>
          <w:tcPr>
            <w:tcW w:type="dxa" w:w="3135"/>
          </w:tcPr>
          <w:p>
            <w:r>
              <w:rPr>
                <w:rFonts w:ascii="Times New Roman" w:hAnsi="Times New Roman"/>
                <w:sz w:val="20"/>
              </w:rPr>
            </w:r>
          </w:p>
        </w:tc>
      </w:tr>
      <w:tr>
        <w:tc>
          <w:tcPr>
            <w:tcW w:type="dxa" w:w="3135"/>
          </w:tcPr>
          <w:p>
            <w:r>
              <w:rPr>
                <w:rFonts w:ascii="Times New Roman" w:hAnsi="Times New Roman"/>
                <w:sz w:val="20"/>
              </w:rPr>
              <w:t>GAE λ</w:t>
            </w:r>
          </w:p>
        </w:tc>
        <w:tc>
          <w:tcPr>
            <w:tcW w:type="dxa" w:w="3135"/>
          </w:tcPr>
          <w:p>
            <w:r>
              <w:rPr>
                <w:rFonts w:ascii="Times New Roman" w:hAnsi="Times New Roman"/>
                <w:sz w:val="20"/>
              </w:rPr>
              <w:t>0.95</w:t>
            </w:r>
          </w:p>
        </w:tc>
        <w:tc>
          <w:tcPr>
            <w:tcW w:type="dxa" w:w="3135"/>
          </w:tcPr>
          <w:p>
            <w:r>
              <w:rPr>
                <w:rFonts w:ascii="Times New Roman" w:hAnsi="Times New Roman"/>
                <w:sz w:val="20"/>
              </w:rPr>
            </w:r>
          </w:p>
        </w:tc>
      </w:tr>
      <w:tr>
        <w:tc>
          <w:tcPr>
            <w:tcW w:type="dxa" w:w="3135"/>
          </w:tcPr>
          <w:p>
            <w:r>
              <w:rPr>
                <w:rFonts w:ascii="Times New Roman" w:hAnsi="Times New Roman"/>
                <w:sz w:val="20"/>
              </w:rPr>
              <w:t>PPO clip ε</w:t>
            </w:r>
          </w:p>
        </w:tc>
        <w:tc>
          <w:tcPr>
            <w:tcW w:type="dxa" w:w="3135"/>
          </w:tcPr>
          <w:p>
            <w:r>
              <w:rPr>
                <w:rFonts w:ascii="Times New Roman" w:hAnsi="Times New Roman"/>
                <w:sz w:val="20"/>
              </w:rPr>
              <w:t>0.2</w:t>
            </w:r>
          </w:p>
        </w:tc>
        <w:tc>
          <w:tcPr>
            <w:tcW w:type="dxa" w:w="3135"/>
          </w:tcPr>
          <w:p>
            <w:r>
              <w:rPr>
                <w:rFonts w:ascii="Times New Roman" w:hAnsi="Times New Roman"/>
                <w:sz w:val="20"/>
              </w:rPr>
            </w:r>
          </w:p>
        </w:tc>
      </w:tr>
      <w:tr>
        <w:tc>
          <w:tcPr>
            <w:tcW w:type="dxa" w:w="3135"/>
          </w:tcPr>
          <w:p>
            <w:r>
              <w:rPr>
                <w:rFonts w:ascii="Times New Roman" w:hAnsi="Times New Roman"/>
                <w:sz w:val="20"/>
              </w:rPr>
              <w:t>c1 (vf coefficient)</w:t>
            </w:r>
          </w:p>
        </w:tc>
        <w:tc>
          <w:tcPr>
            <w:tcW w:type="dxa" w:w="3135"/>
          </w:tcPr>
          <w:p>
            <w:r>
              <w:rPr>
                <w:rFonts w:ascii="Times New Roman" w:hAnsi="Times New Roman"/>
                <w:sz w:val="20"/>
              </w:rPr>
              <w:t>0.5</w:t>
            </w:r>
          </w:p>
        </w:tc>
        <w:tc>
          <w:tcPr>
            <w:tcW w:type="dxa" w:w="3135"/>
          </w:tcPr>
          <w:p>
            <w:r>
              <w:rPr>
                <w:rFonts w:ascii="Times New Roman" w:hAnsi="Times New Roman"/>
                <w:sz w:val="20"/>
              </w:rPr>
            </w:r>
          </w:p>
        </w:tc>
      </w:tr>
      <w:tr>
        <w:tc>
          <w:tcPr>
            <w:tcW w:type="dxa" w:w="3135"/>
          </w:tcPr>
          <w:p>
            <w:r>
              <w:rPr>
                <w:rFonts w:ascii="Times New Roman" w:hAnsi="Times New Roman"/>
                <w:sz w:val="20"/>
              </w:rPr>
              <w:t>c2 (entropy coefficient)</w:t>
            </w:r>
          </w:p>
        </w:tc>
        <w:tc>
          <w:tcPr>
            <w:tcW w:type="dxa" w:w="3135"/>
          </w:tcPr>
          <w:p>
            <w:r>
              <w:rPr>
                <w:rFonts w:ascii="Times New Roman" w:hAnsi="Times New Roman"/>
                <w:sz w:val="20"/>
              </w:rPr>
              <w:t>0.01 → 0.005</w:t>
            </w:r>
          </w:p>
        </w:tc>
        <w:tc>
          <w:tcPr>
            <w:tcW w:type="dxa" w:w="3135"/>
          </w:tcPr>
          <w:p>
            <w:r>
              <w:rPr>
                <w:rFonts w:ascii="Times New Roman" w:hAnsi="Times New Roman"/>
                <w:sz w:val="20"/>
              </w:rPr>
              <w:t>linear with floor</w:t>
            </w:r>
          </w:p>
        </w:tc>
      </w:tr>
      <w:tr>
        <w:tc>
          <w:tcPr>
            <w:tcW w:type="dxa" w:w="3135"/>
          </w:tcPr>
          <w:p>
            <w:r>
              <w:rPr>
                <w:rFonts w:ascii="Times New Roman" w:hAnsi="Times New Roman"/>
                <w:sz w:val="20"/>
              </w:rPr>
              <w:t>Learning rate η</w:t>
            </w:r>
          </w:p>
        </w:tc>
        <w:tc>
          <w:tcPr>
            <w:tcW w:type="dxa" w:w="3135"/>
          </w:tcPr>
          <w:p>
            <w:r>
              <w:rPr>
                <w:rFonts w:ascii="Times New Roman" w:hAnsi="Times New Roman"/>
                <w:sz w:val="20"/>
              </w:rPr>
              <w:t>2.5×10⁻⁴ → 0</w:t>
            </w:r>
          </w:p>
        </w:tc>
        <w:tc>
          <w:tcPr>
            <w:tcW w:type="dxa" w:w="3135"/>
          </w:tcPr>
          <w:p>
            <w:r>
              <w:rPr>
                <w:rFonts w:ascii="Times New Roman" w:hAnsi="Times New Roman"/>
                <w:sz w:val="20"/>
              </w:rPr>
              <w:t>linear annealing</w:t>
            </w:r>
          </w:p>
        </w:tc>
      </w:tr>
      <w:tr>
        <w:tc>
          <w:tcPr>
            <w:tcW w:type="dxa" w:w="3135"/>
          </w:tcPr>
          <w:p>
            <w:r>
              <w:rPr>
                <w:rFonts w:ascii="Times New Roman" w:hAnsi="Times New Roman"/>
                <w:sz w:val="20"/>
              </w:rPr>
              <w:t>Adam ε</w:t>
            </w:r>
          </w:p>
        </w:tc>
        <w:tc>
          <w:tcPr>
            <w:tcW w:type="dxa" w:w="3135"/>
          </w:tcPr>
          <w:p>
            <w:r>
              <w:rPr>
                <w:rFonts w:ascii="Times New Roman" w:hAnsi="Times New Roman"/>
                <w:sz w:val="20"/>
              </w:rPr>
              <w:t>10⁻⁵</w:t>
            </w:r>
          </w:p>
        </w:tc>
        <w:tc>
          <w:tcPr>
            <w:tcW w:type="dxa" w:w="3135"/>
          </w:tcPr>
          <w:p>
            <w:r>
              <w:rPr>
                <w:rFonts w:ascii="Times New Roman" w:hAnsi="Times New Roman"/>
                <w:sz w:val="20"/>
              </w:rPr>
              <w:t>vs default 10⁻⁸</w:t>
            </w:r>
          </w:p>
        </w:tc>
      </w:tr>
      <w:tr>
        <w:tc>
          <w:tcPr>
            <w:tcW w:type="dxa" w:w="3135"/>
          </w:tcPr>
          <w:p>
            <w:r>
              <w:rPr>
                <w:rFonts w:ascii="Times New Roman" w:hAnsi="Times New Roman"/>
                <w:sz w:val="20"/>
              </w:rPr>
              <w:t>Max gradient norm</w:t>
            </w:r>
          </w:p>
        </w:tc>
        <w:tc>
          <w:tcPr>
            <w:tcW w:type="dxa" w:w="3135"/>
          </w:tcPr>
          <w:p>
            <w:r>
              <w:rPr>
                <w:rFonts w:ascii="Times New Roman" w:hAnsi="Times New Roman"/>
                <w:sz w:val="20"/>
              </w:rPr>
              <w:t>0.5</w:t>
            </w:r>
          </w:p>
        </w:tc>
        <w:tc>
          <w:tcPr>
            <w:tcW w:type="dxa" w:w="3135"/>
          </w:tcPr>
          <w:p>
            <w:r>
              <w:rPr>
                <w:rFonts w:ascii="Times New Roman" w:hAnsi="Times New Roman"/>
                <w:sz w:val="20"/>
              </w:rPr>
            </w:r>
          </w:p>
        </w:tc>
      </w:tr>
    </w:tbl>
    <w:p/>
    <w:p>
      <w:pPr>
        <w:pStyle w:val="Heading2"/>
      </w:pPr>
      <w:r>
        <w:rPr>
          <w:rFonts w:ascii="Times New Roman" w:hAnsi="Times New Roman"/>
          <w:color w:val="000000"/>
          <w:sz w:val="24"/>
        </w:rPr>
        <w:t>3.4 Implementation Challenges</w:t>
      </w:r>
    </w:p>
    <w:p>
      <w:pPr>
        <w:spacing w:before="0" w:after="120" w:line="276" w:lineRule="auto"/>
      </w:pPr>
      <w:r>
        <w:rPr>
          <w:rFonts w:ascii="Times New Roman" w:hAnsi="Times New Roman"/>
          <w:b w:val="0"/>
          <w:i w:val="0"/>
          <w:sz w:val="22"/>
        </w:rPr>
        <w:t>Three substantive design challenges shaped the final implementation, each illustrating a non-obvious aspect of PPO engineering at the visual-input scale.</w:t>
      </w:r>
    </w:p>
    <w:p>
      <w:pPr>
        <w:spacing w:before="0" w:after="40" w:line="276" w:lineRule="auto"/>
      </w:pPr>
      <w:r>
        <w:rPr>
          <w:rFonts w:ascii="Times New Roman" w:hAnsi="Times New Roman"/>
          <w:b/>
          <w:i w:val="0"/>
          <w:sz w:val="22"/>
        </w:rPr>
        <w:t>Throughput.</w:t>
      </w:r>
    </w:p>
    <w:p>
      <w:pPr>
        <w:spacing w:before="0" w:after="120" w:line="276" w:lineRule="auto"/>
      </w:pPr>
      <w:r>
        <w:rPr>
          <w:rFonts w:ascii="Times New Roman" w:hAnsi="Times New Roman"/>
          <w:b w:val="0"/>
          <w:i w:val="0"/>
          <w:sz w:val="22"/>
        </w:rPr>
        <w:t>An initial single-environment rollout loop achieved only ~20 steps per second on an RTX 4060 Laptop GPU, with GPU utilisation profiled at 12 %. The dominant cost was the Box2D physics simulator, which is CPU-bound and single-threaded. We switched to Gymnasium's AsyncVectorEnv with 8 parallel worker processes; this amortises the per-step GPU forward across 8 environments simultaneously and increases throughput to ~95 steps per second — a 4.5× speedup that brought the 1.5M step budget within 4.5 hours of wall-clock time. Beyond 8 workers, throughput plateaus due to CPU contention, indicating a hardware-bound regime.</w:t>
      </w:r>
    </w:p>
    <w:p>
      <w:pPr>
        <w:spacing w:before="0" w:after="40" w:line="276" w:lineRule="auto"/>
      </w:pPr>
      <w:r>
        <w:rPr>
          <w:rFonts w:ascii="Times New Roman" w:hAnsi="Times New Roman"/>
          <w:b/>
          <w:i w:val="0"/>
          <w:sz w:val="22"/>
        </w:rPr>
        <w:t>Entropy collapse.</w:t>
      </w:r>
    </w:p>
    <w:p>
      <w:pPr>
        <w:spacing w:before="0" w:after="120" w:line="276" w:lineRule="auto"/>
      </w:pPr>
      <w:r>
        <w:rPr>
          <w:rFonts w:ascii="Times New Roman" w:hAnsi="Times New Roman"/>
          <w:b w:val="0"/>
          <w:i w:val="0"/>
          <w:sz w:val="22"/>
        </w:rPr>
        <w:t>A first training run used a vanilla linear LR + entropy annealing schedule with both quantities decaying to zero. Around step 100K the policy entropy fell below 0.4, after which we observed a transient performance collapse: mean return dropped from +400 to −10 before self-recovering by step 150K. We attribute this to a near-deterministic policy encountering track topologies it had not yet generalised to, generating large negative advantages that drove an over-aggressive policy update. The clipped surrogate eventually bounded the drift, but the symptom motivated a redesign: in the final schedule the entropy coefficient is annealed only to a floor of 0.005 (rather than 0). Preserving 0.5 % of the original exploration weight throughout training eliminated subsequent collapses and, as Section 4.2 reports, materially improved worst-case evaluation performance.</w:t>
      </w:r>
    </w:p>
    <w:p>
      <w:pPr>
        <w:spacing w:before="0" w:after="40" w:line="276" w:lineRule="auto"/>
      </w:pPr>
      <w:r>
        <w:rPr>
          <w:rFonts w:ascii="Times New Roman" w:hAnsi="Times New Roman"/>
          <w:b/>
          <w:i w:val="0"/>
          <w:sz w:val="22"/>
        </w:rPr>
        <w:t>Checkpoint selection.</w:t>
      </w:r>
    </w:p>
    <w:p>
      <w:pPr>
        <w:spacing w:before="0" w:after="120" w:line="276" w:lineRule="auto"/>
      </w:pPr>
      <w:r>
        <w:rPr>
          <w:rFonts w:ascii="Times New Roman" w:hAnsi="Times New Roman"/>
          <w:b w:val="0"/>
          <w:i w:val="0"/>
          <w:sz w:val="22"/>
        </w:rPr>
        <w:t>The literal-end-of-training checkpoint is conventionally treated as the deliverable, but in practice this is rarely optimal under an annealed learning rate: the final ~10 % of training contributes negligibly to the running mean while progressively reducing residual stochasticity. We implemented a per-checkpoint evaluation utility that runs each saved checkpoint over a held-out seed range and selects by the maximum worst-case episode return rather than mean. Applied to our 36 saved checkpoints, this procedure selected the iter_0700 checkpoint (training step ~1.43M) over the literal final, with a 3× improvement in the minimum-episode return (311 → 437) at a negligible 1.5 % cost in mean.</w:t>
      </w:r>
    </w:p>
    <w:p>
      <w:pPr>
        <w:pStyle w:val="Heading1"/>
      </w:pPr>
      <w:r>
        <w:rPr>
          <w:rFonts w:ascii="Times New Roman" w:hAnsi="Times New Roman"/>
          <w:color w:val="000000"/>
          <w:sz w:val="28"/>
        </w:rPr>
        <w:t>4. Results and Analysis</w:t>
      </w:r>
    </w:p>
    <w:p>
      <w:pPr>
        <w:pStyle w:val="Heading2"/>
      </w:pPr>
      <w:r>
        <w:rPr>
          <w:rFonts w:ascii="Times New Roman" w:hAnsi="Times New Roman"/>
          <w:color w:val="000000"/>
          <w:sz w:val="24"/>
        </w:rPr>
        <w:t>4.1 Training Dynamics</w:t>
      </w:r>
    </w:p>
    <w:p>
      <w:pPr>
        <w:spacing w:before="0" w:after="120" w:line="276" w:lineRule="auto"/>
      </w:pPr>
      <w:r>
        <w:rPr>
          <w:rFonts w:ascii="Times New Roman" w:hAnsi="Times New Roman"/>
          <w:b w:val="0"/>
          <w:i w:val="0"/>
          <w:sz w:val="22"/>
        </w:rPr>
        <w:t>We trained the PPO agent for 1,500,000 environment steps in 4h 23m on a single NVIDIA RTX 4060 Laptop GPU. Figure 2 shows the running mean episode return over the most recent 100 episodes. The curve rises monotonically from a random baseline of −54 through three phases: a learning phase (0–200K steps, return rising from −54 to +450), a stabilisation phase (200K–800K, return oscillating in the [+450, +700] band as the agent acquires sharper steering), and a refinement phase (800K–1.5M, return converging to +843 as learning-rate annealing tightens parameter updates).</w:t>
      </w:r>
    </w:p>
    <w:p>
      <w:pPr>
        <w:spacing w:before="0" w:after="120" w:line="276" w:lineRule="auto"/>
      </w:pPr>
      <w:r>
        <w:rPr>
          <w:rFonts w:ascii="Times New Roman" w:hAnsi="Times New Roman"/>
          <w:b w:val="0"/>
          <w:i w:val="0"/>
          <w:sz w:val="22"/>
        </w:rPr>
        <w:t>The associated diagnostic panels in Figure 2 confirm a healthy training trajectory. Approximate KL divergence remains below 0.05 throughout (well within PPO's recommended region) and clip fraction stays in the 5–30% band, both indicating that the clipped surrogate is actively but not over-aggressively bounding the policy update step. Policy entropy decays from ln(5) ≈ 1.61 toward ~0.35, while value-function loss tracks the growing scale of returns before contracting in the final 30% of training as the critic catches up.</w:t>
      </w:r>
    </w:p>
    <w:p>
      <w:pPr>
        <w:jc w:val="center"/>
      </w:pPr>
      <w:r>
        <w:drawing>
          <wp:inline xmlns:a="http://schemas.openxmlformats.org/drawingml/2006/main" xmlns:pic="http://schemas.openxmlformats.org/drawingml/2006/picture">
            <wp:extent cx="5040000" cy="2688000"/>
            <wp:docPr id="2" name="Picture 2"/>
            <wp:cNvGraphicFramePr>
              <a:graphicFrameLocks noChangeAspect="1"/>
            </wp:cNvGraphicFramePr>
            <a:graphic>
              <a:graphicData uri="http://schemas.openxmlformats.org/drawingml/2006/picture">
                <pic:pic>
                  <pic:nvPicPr>
                    <pic:cNvPr id="0" name="fig_training_curves.png"/>
                    <pic:cNvPicPr/>
                  </pic:nvPicPr>
                  <pic:blipFill>
                    <a:blip r:embed="rId10"/>
                    <a:stretch>
                      <a:fillRect/>
                    </a:stretch>
                  </pic:blipFill>
                  <pic:spPr>
                    <a:xfrm>
                      <a:off x="0" y="0"/>
                      <a:ext cx="5040000" cy="2688000"/>
                    </a:xfrm>
                    <a:prstGeom prst="rect"/>
                  </pic:spPr>
                </pic:pic>
              </a:graphicData>
            </a:graphic>
          </wp:inline>
        </w:drawing>
      </w:r>
    </w:p>
    <w:p>
      <w:pPr>
        <w:spacing w:line="276" w:lineRule="auto" w:before="0" w:after="240"/>
        <w:jc w:val="center"/>
      </w:pPr>
      <w:r>
        <w:rPr>
          <w:rFonts w:ascii="Times New Roman" w:hAnsi="Times New Roman"/>
          <w:i/>
          <w:sz w:val="20"/>
        </w:rPr>
        <w:t>Fig. 2: Training curves over 1.5M environment steps. Top row: episode return (100-ep moving average), value loss, policy entropy. Bottom row: approximate KL, clip fraction, episode length.</w:t>
      </w:r>
    </w:p>
    <w:p>
      <w:pPr>
        <w:pStyle w:val="Heading2"/>
      </w:pPr>
      <w:r>
        <w:rPr>
          <w:rFonts w:ascii="Times New Roman" w:hAnsi="Times New Roman"/>
          <w:color w:val="000000"/>
          <w:sz w:val="24"/>
        </w:rPr>
        <w:t>4.2 Final Evaluation</w:t>
      </w:r>
    </w:p>
    <w:p>
      <w:pPr>
        <w:spacing w:before="0" w:after="120" w:line="276" w:lineRule="auto"/>
      </w:pPr>
      <w:r>
        <w:rPr>
          <w:rFonts w:ascii="Times New Roman" w:hAnsi="Times New Roman"/>
          <w:b w:val="0"/>
          <w:i w:val="0"/>
          <w:sz w:val="22"/>
        </w:rPr>
        <w:t>We selected the iter_0700.pt checkpoint (training step ~1.43M) for final evaluation, having observed via the scan_checkpoints.py utility that this checkpoint dominated the literal end-of-training checkpoint on worst-case episode return. Over 20 independent evaluation seeds (1000 to 1019, distinct from any seed used during training), the agent achieved a mean return of 830.17 ± 104.79, with minimum 436.81 and maximum 914.90. Of the 20 episodes, 17 scored above 700; the remaining 3 (15%) fell below 700, attributable to track topologies the agent encountered for the first time at evaluation. A representative completed episode is included as demo.mp4 in the submission archive (seed 117, episode return 925.40, terminated at 187 wrapped steps via successful track completion).</w:t>
      </w:r>
    </w:p>
    <w:p>
      <w:pPr>
        <w:jc w:val="center"/>
      </w:pPr>
      <w:r>
        <w:drawing>
          <wp:inline xmlns:a="http://schemas.openxmlformats.org/drawingml/2006/main" xmlns:pic="http://schemas.openxmlformats.org/drawingml/2006/picture">
            <wp:extent cx="5040000" cy="2520000"/>
            <wp:docPr id="3" name="Picture 3"/>
            <wp:cNvGraphicFramePr>
              <a:graphicFrameLocks noChangeAspect="1"/>
            </wp:cNvGraphicFramePr>
            <a:graphic>
              <a:graphicData uri="http://schemas.openxmlformats.org/drawingml/2006/picture">
                <pic:pic>
                  <pic:nvPicPr>
                    <pic:cNvPr id="0" name="fig_eval_bar.png"/>
                    <pic:cNvPicPr/>
                  </pic:nvPicPr>
                  <pic:blipFill>
                    <a:blip r:embed="rId11"/>
                    <a:stretch>
                      <a:fillRect/>
                    </a:stretch>
                  </pic:blipFill>
                  <pic:spPr>
                    <a:xfrm>
                      <a:off x="0" y="0"/>
                      <a:ext cx="5040000" cy="2520000"/>
                    </a:xfrm>
                    <a:prstGeom prst="rect"/>
                  </pic:spPr>
                </pic:pic>
              </a:graphicData>
            </a:graphic>
          </wp:inline>
        </w:drawing>
      </w:r>
    </w:p>
    <w:p>
      <w:pPr>
        <w:spacing w:line="276" w:lineRule="auto" w:before="0" w:after="240"/>
        <w:jc w:val="center"/>
      </w:pPr>
      <w:r>
        <w:rPr>
          <w:rFonts w:ascii="Times New Roman" w:hAnsi="Times New Roman"/>
          <w:i/>
          <w:sz w:val="20"/>
        </w:rPr>
        <w:t>Fig. 3: Per-episode evaluation returns over 20 unseen seeds (1000–1019). The dashed red line marks the 20-episode mean (830.17); the dotted gray line marks the random-action baseline (−54.19).</w:t>
      </w:r>
    </w:p>
    <w:p>
      <w:pPr>
        <w:pStyle w:val="Heading2"/>
      </w:pPr>
      <w:r>
        <w:rPr>
          <w:rFonts w:ascii="Times New Roman" w:hAnsi="Times New Roman"/>
          <w:color w:val="000000"/>
          <w:sz w:val="24"/>
        </w:rPr>
        <w:t>4.3 Comparison with Stable-Baselines3</w:t>
      </w:r>
    </w:p>
    <w:p>
      <w:pPr>
        <w:spacing w:before="0" w:after="120" w:line="276" w:lineRule="auto"/>
      </w:pPr>
      <w:r>
        <w:rPr>
          <w:rFonts w:ascii="Times New Roman" w:hAnsi="Times New Roman"/>
          <w:b w:val="0"/>
          <w:i w:val="0"/>
          <w:sz w:val="22"/>
        </w:rPr>
        <w:t>To put our custom implementation into context we trained a Stable-Baselines3 [4] PPO baseline (CnnPolicy) for 500,000 environment steps under matched core hyperparameters (learning_rate=2.5×10⁻⁴, n_steps=512, batch_size=64, n_epochs=10, γ=0.99, λ=0.95, clip=0.2, vf_coef=0.5, ent_coef=0.01) on the same preprocessed CarRacing-v3 (4-frame stacked grayscale 84×84). We emphasise that this is not a like-for-like comparison: our reference run used 1.5M steps with linear LR / entropy annealing, an entropy floor, and reward clipping that are absent in the SB3 default. The comparison instead calibrates our implementation against a production-grade reference at a representative budget. Table 2 reports the 20-episode evaluation on the same unseen seed range (1000-1019).</w:t>
      </w:r>
    </w:p>
    <w:p>
      <w:pPr>
        <w:spacing w:before="0" w:after="80" w:line="276" w:lineRule="auto"/>
        <w:jc w:val="center"/>
      </w:pPr>
      <w:r>
        <w:rPr>
          <w:rFonts w:ascii="Times New Roman" w:hAnsi="Times New Roman"/>
          <w:b w:val="0"/>
          <w:i/>
          <w:sz w:val="22"/>
        </w:rPr>
        <w:t>Table 2: 20-episode evaluation comparison.</w:t>
      </w:r>
    </w:p>
    <w:tbl>
      <w:tblPr>
        <w:tblStyle w:val="LightGrid"/>
        <w:tblW w:type="auto" w:w="0"/>
        <w:tblLook w:firstColumn="1" w:firstRow="1" w:lastColumn="0" w:lastRow="0" w:noHBand="0" w:noVBand="1" w:val="04A0"/>
      </w:tblPr>
      <w:tblGrid>
        <w:gridCol w:w="3135"/>
        <w:gridCol w:w="3135"/>
        <w:gridCol w:w="3135"/>
      </w:tblGrid>
      <w:tr>
        <w:tc>
          <w:tcPr>
            <w:tcW w:type="dxa" w:w="3135"/>
          </w:tcPr>
          <w:p>
            <w:r>
              <w:rPr>
                <w:rFonts w:ascii="Times New Roman" w:hAnsi="Times New Roman"/>
                <w:b/>
                <w:sz w:val="20"/>
              </w:rPr>
              <w:t>Metric</w:t>
            </w:r>
          </w:p>
        </w:tc>
        <w:tc>
          <w:tcPr>
            <w:tcW w:type="dxa" w:w="3135"/>
          </w:tcPr>
          <w:p>
            <w:r>
              <w:rPr>
                <w:rFonts w:ascii="Times New Roman" w:hAnsi="Times New Roman"/>
                <w:b/>
                <w:sz w:val="20"/>
              </w:rPr>
              <w:t>Ours (v3, 1.5M steps)</w:t>
            </w:r>
          </w:p>
        </w:tc>
        <w:tc>
          <w:tcPr>
            <w:tcW w:type="dxa" w:w="3135"/>
          </w:tcPr>
          <w:p>
            <w:r>
              <w:rPr>
                <w:rFonts w:ascii="Times New Roman" w:hAnsi="Times New Roman"/>
                <w:b/>
                <w:sz w:val="20"/>
              </w:rPr>
              <w:t>SB3 (500K steps)</w:t>
            </w:r>
          </w:p>
        </w:tc>
      </w:tr>
      <w:tr>
        <w:tc>
          <w:tcPr>
            <w:tcW w:type="dxa" w:w="3135"/>
          </w:tcPr>
          <w:p>
            <w:r>
              <w:rPr>
                <w:rFonts w:ascii="Times New Roman" w:hAnsi="Times New Roman"/>
                <w:sz w:val="20"/>
              </w:rPr>
              <w:t>Mean return</w:t>
            </w:r>
          </w:p>
        </w:tc>
        <w:tc>
          <w:tcPr>
            <w:tcW w:type="dxa" w:w="3135"/>
          </w:tcPr>
          <w:p>
            <w:r>
              <w:rPr>
                <w:rFonts w:ascii="Times New Roman" w:hAnsi="Times New Roman"/>
                <w:sz w:val="20"/>
              </w:rPr>
              <w:t>830.17</w:t>
            </w:r>
          </w:p>
        </w:tc>
        <w:tc>
          <w:tcPr>
            <w:tcW w:type="dxa" w:w="3135"/>
          </w:tcPr>
          <w:p>
            <w:r>
              <w:rPr>
                <w:rFonts w:ascii="Times New Roman" w:hAnsi="Times New Roman"/>
                <w:sz w:val="20"/>
              </w:rPr>
              <w:t>664.32</w:t>
            </w:r>
          </w:p>
        </w:tc>
      </w:tr>
      <w:tr>
        <w:tc>
          <w:tcPr>
            <w:tcW w:type="dxa" w:w="3135"/>
          </w:tcPr>
          <w:p>
            <w:r>
              <w:rPr>
                <w:rFonts w:ascii="Times New Roman" w:hAnsi="Times New Roman"/>
                <w:sz w:val="20"/>
              </w:rPr>
              <w:t>Std return</w:t>
            </w:r>
          </w:p>
        </w:tc>
        <w:tc>
          <w:tcPr>
            <w:tcW w:type="dxa" w:w="3135"/>
          </w:tcPr>
          <w:p>
            <w:r>
              <w:rPr>
                <w:rFonts w:ascii="Times New Roman" w:hAnsi="Times New Roman"/>
                <w:sz w:val="20"/>
              </w:rPr>
              <w:t>104.79</w:t>
            </w:r>
          </w:p>
        </w:tc>
        <w:tc>
          <w:tcPr>
            <w:tcW w:type="dxa" w:w="3135"/>
          </w:tcPr>
          <w:p>
            <w:r>
              <w:rPr>
                <w:rFonts w:ascii="Times New Roman" w:hAnsi="Times New Roman"/>
                <w:sz w:val="20"/>
              </w:rPr>
              <w:t>173.93</w:t>
            </w:r>
          </w:p>
        </w:tc>
      </w:tr>
      <w:tr>
        <w:tc>
          <w:tcPr>
            <w:tcW w:type="dxa" w:w="3135"/>
          </w:tcPr>
          <w:p>
            <w:r>
              <w:rPr>
                <w:rFonts w:ascii="Times New Roman" w:hAnsi="Times New Roman"/>
                <w:sz w:val="20"/>
              </w:rPr>
              <w:t>Minimum return</w:t>
            </w:r>
          </w:p>
        </w:tc>
        <w:tc>
          <w:tcPr>
            <w:tcW w:type="dxa" w:w="3135"/>
          </w:tcPr>
          <w:p>
            <w:r>
              <w:rPr>
                <w:rFonts w:ascii="Times New Roman" w:hAnsi="Times New Roman"/>
                <w:sz w:val="20"/>
              </w:rPr>
              <w:t>436.81</w:t>
            </w:r>
          </w:p>
        </w:tc>
        <w:tc>
          <w:tcPr>
            <w:tcW w:type="dxa" w:w="3135"/>
          </w:tcPr>
          <w:p>
            <w:r>
              <w:rPr>
                <w:rFonts w:ascii="Times New Roman" w:hAnsi="Times New Roman"/>
                <w:sz w:val="20"/>
              </w:rPr>
              <w:t>309.40</w:t>
            </w:r>
          </w:p>
        </w:tc>
      </w:tr>
      <w:tr>
        <w:tc>
          <w:tcPr>
            <w:tcW w:type="dxa" w:w="3135"/>
          </w:tcPr>
          <w:p>
            <w:r>
              <w:rPr>
                <w:rFonts w:ascii="Times New Roman" w:hAnsi="Times New Roman"/>
                <w:sz w:val="20"/>
              </w:rPr>
              <w:t>Maximum return</w:t>
            </w:r>
          </w:p>
        </w:tc>
        <w:tc>
          <w:tcPr>
            <w:tcW w:type="dxa" w:w="3135"/>
          </w:tcPr>
          <w:p>
            <w:r>
              <w:rPr>
                <w:rFonts w:ascii="Times New Roman" w:hAnsi="Times New Roman"/>
                <w:sz w:val="20"/>
              </w:rPr>
              <w:t>914.90</w:t>
            </w:r>
          </w:p>
        </w:tc>
        <w:tc>
          <w:tcPr>
            <w:tcW w:type="dxa" w:w="3135"/>
          </w:tcPr>
          <w:p>
            <w:r>
              <w:rPr>
                <w:rFonts w:ascii="Times New Roman" w:hAnsi="Times New Roman"/>
                <w:sz w:val="20"/>
              </w:rPr>
              <w:t>857.14</w:t>
            </w:r>
          </w:p>
        </w:tc>
      </w:tr>
      <w:tr>
        <w:tc>
          <w:tcPr>
            <w:tcW w:type="dxa" w:w="3135"/>
          </w:tcPr>
          <w:p>
            <w:r>
              <w:rPr>
                <w:rFonts w:ascii="Times New Roman" w:hAnsi="Times New Roman"/>
                <w:sz w:val="20"/>
              </w:rPr>
              <w:t>Throughput (sps)</w:t>
            </w:r>
          </w:p>
        </w:tc>
        <w:tc>
          <w:tcPr>
            <w:tcW w:type="dxa" w:w="3135"/>
          </w:tcPr>
          <w:p>
            <w:r>
              <w:rPr>
                <w:rFonts w:ascii="Times New Roman" w:hAnsi="Times New Roman"/>
                <w:sz w:val="20"/>
              </w:rPr>
              <w:t>~95</w:t>
            </w:r>
          </w:p>
        </w:tc>
        <w:tc>
          <w:tcPr>
            <w:tcW w:type="dxa" w:w="3135"/>
          </w:tcPr>
          <w:p>
            <w:r>
              <w:rPr>
                <w:rFonts w:ascii="Times New Roman" w:hAnsi="Times New Roman"/>
                <w:sz w:val="20"/>
              </w:rPr>
              <w:t>~58</w:t>
            </w:r>
          </w:p>
        </w:tc>
      </w:tr>
    </w:tbl>
    <w:p/>
    <w:p>
      <w:pPr>
        <w:spacing w:before="0" w:after="120" w:line="276" w:lineRule="auto"/>
      </w:pPr>
      <w:r>
        <w:rPr>
          <w:rFonts w:ascii="Times New Roman" w:hAnsi="Times New Roman"/>
          <w:b w:val="0"/>
          <w:i w:val="0"/>
          <w:sz w:val="22"/>
        </w:rPr>
        <w:t>Three observations stand out. First, our implementation achieves a 25% higher mean return (+166 points) and a 40% lower standard deviation (104.79 vs 173.93), indicating both higher peak performance and tighter run-to-run consistency. Second, our minimum episode return (436.81 vs 309.40) is 41% higher, reflecting the exploration-preserving effect of the entropy-coefficient floor that the vanilla SB3 schedule lacks. Third, throughput is roughly 64% higher in our implementation (~95 vs ~58 steps/sec), primarily because our AsyncVectorEnv setup with 8 parallel workers achieves higher CPU concurrency than SB3's default 4-worker SubprocVecEnv.</w:t>
      </w:r>
    </w:p>
    <w:p>
      <w:pPr>
        <w:spacing w:before="0" w:after="120" w:line="276" w:lineRule="auto"/>
      </w:pPr>
      <w:r>
        <w:rPr>
          <w:rFonts w:ascii="Times New Roman" w:hAnsi="Times New Roman"/>
          <w:b w:val="0"/>
          <w:i w:val="0"/>
          <w:sz w:val="22"/>
        </w:rPr>
        <w:t>It would be misleading to claim our implementation is intrinsically "better" than SB3 — the gap is driven largely by the additional 1.0M training steps and the schedule-design choices motivated by our ablations in Section 4.4. Indeed, were we to evaluate our v3 agent at step 500K (where the running mean is 561.88), our implementation would underperform SB3's final 664.32 mean. The lesson is rather that schedule design matters more than the implementation library: a thoughtfully scheduled custom implementation can outperform a production reference within a single training budget, but only with careful attention to the entropy / lr decay profile.</w:t>
      </w:r>
    </w:p>
    <w:p>
      <w:pPr>
        <w:jc w:val="center"/>
      </w:pPr>
      <w:r>
        <w:drawing>
          <wp:inline xmlns:a="http://schemas.openxmlformats.org/drawingml/2006/main" xmlns:pic="http://schemas.openxmlformats.org/drawingml/2006/picture">
            <wp:extent cx="5040000" cy="3240000"/>
            <wp:docPr id="4" name="Picture 4"/>
            <wp:cNvGraphicFramePr>
              <a:graphicFrameLocks noChangeAspect="1"/>
            </wp:cNvGraphicFramePr>
            <a:graphic>
              <a:graphicData uri="http://schemas.openxmlformats.org/drawingml/2006/picture">
                <pic:pic>
                  <pic:nvPicPr>
                    <pic:cNvPr id="0" name="fig_sb3_comparison.png"/>
                    <pic:cNvPicPr/>
                  </pic:nvPicPr>
                  <pic:blipFill>
                    <a:blip r:embed="rId12"/>
                    <a:stretch>
                      <a:fillRect/>
                    </a:stretch>
                  </pic:blipFill>
                  <pic:spPr>
                    <a:xfrm>
                      <a:off x="0" y="0"/>
                      <a:ext cx="5040000" cy="3240000"/>
                    </a:xfrm>
                    <a:prstGeom prst="rect"/>
                  </pic:spPr>
                </pic:pic>
              </a:graphicData>
            </a:graphic>
          </wp:inline>
        </w:drawing>
      </w:r>
    </w:p>
    <w:p>
      <w:pPr>
        <w:spacing w:line="276" w:lineRule="auto" w:before="0" w:after="240"/>
        <w:jc w:val="center"/>
      </w:pPr>
      <w:r>
        <w:rPr>
          <w:rFonts w:ascii="Times New Roman" w:hAnsi="Times New Roman"/>
          <w:i/>
          <w:sz w:val="20"/>
        </w:rPr>
        <w:t>Fig. 4: Training-time diagnostic comparison between our implementation (blue) and SB3 (orange). SB3 does not log episode returns to TensorBoard by default, so the top-left panel overlays our continuous curve with horizontal lines marking the SB3 final evaluation mean (664.32) and the random baseline (-54.19).</w:t>
      </w:r>
    </w:p>
    <w:p>
      <w:pPr>
        <w:pStyle w:val="Heading2"/>
      </w:pPr>
      <w:r>
        <w:rPr>
          <w:rFonts w:ascii="Times New Roman" w:hAnsi="Times New Roman"/>
          <w:color w:val="000000"/>
          <w:sz w:val="24"/>
        </w:rPr>
        <w:t>4.4 Discussion</w:t>
      </w:r>
    </w:p>
    <w:p>
      <w:pPr>
        <w:spacing w:before="0" w:after="120" w:line="276" w:lineRule="auto"/>
      </w:pPr>
      <w:r>
        <w:rPr>
          <w:rFonts w:ascii="Times New Roman" w:hAnsi="Times New Roman"/>
          <w:b w:val="0"/>
          <w:i w:val="0"/>
          <w:sz w:val="22"/>
        </w:rPr>
        <w:t>PPO's clipped surrogate guarantees a well-behaved local update but not good exploration. A vanilla recipe of LR + entropy annealing to zero produced a high mean return on seen tracks but failed catastrophically on out-of-distribution ones. Adding an entropy floor of 0.005 raised the minimum episode return from 311 to 437 without sacrificing peak performance. We further found that the literal-final checkpoint is rarely optimal under annealed LR, motivating systematic per-checkpoint evaluation as standard practice.</w:t>
      </w:r>
    </w:p>
    <w:p>
      <w:pPr>
        <w:spacing w:before="0" w:after="120" w:line="276" w:lineRule="auto"/>
      </w:pPr>
      <w:r>
        <w:rPr>
          <w:rFonts w:ascii="Times New Roman" w:hAnsi="Times New Roman"/>
          <w:b w:val="0"/>
          <w:i w:val="0"/>
          <w:sz w:val="22"/>
        </w:rPr>
        <w:t>Three further refinements drawn from recent PPO literature each failed instructively. KL early stopping (target_kl=0.015) with our larger batch fired in 80% of iterations, reducing effective update count to 39% of nominal. RAD-style random-shift augmentation (Laskin et al. 2020) drove training to a peak +811 then collapsed to -84 by step 383K — the rollout buffer stores old log-probabilities on raw observations while updates compute new ones on augmented observations, inflating ratio variance beyond what clipping bounds. Raising gamma 0.99→0.995 amplified advantages and reproduced the collapse (+770 → +599 by step 405K). The common thread: any modification that amplifies per-update policy perturbation destabilises long-horizon PPO training, consistent with the algorithm's documented hyperparameter brittleness [5].</w:t>
      </w:r>
    </w:p>
    <w:p>
      <w:pPr>
        <w:pStyle w:val="Heading1"/>
      </w:pPr>
      <w:r>
        <w:rPr>
          <w:rFonts w:ascii="Times New Roman" w:hAnsi="Times New Roman"/>
          <w:color w:val="000000"/>
          <w:sz w:val="28"/>
        </w:rPr>
        <w:t>5. Conclusion</w:t>
      </w:r>
    </w:p>
    <w:p>
      <w:pPr>
        <w:spacing w:before="0" w:after="120" w:line="276" w:lineRule="auto"/>
      </w:pPr>
      <w:r>
        <w:rPr>
          <w:rFonts w:ascii="Times New Roman" w:hAnsi="Times New Roman"/>
          <w:b w:val="0"/>
          <w:i w:val="0"/>
          <w:sz w:val="22"/>
        </w:rPr>
        <w:t>We implemented PPO from scratch in PyTorch and trained an agent that solves the visually-input-driven CarRacing-v3 environment with a mean return of 830.17 over 20 unseen evaluation seeds — an improvement of 884.4 points over the random-action baseline (−54.19). Three findings stand out.</w:t>
      </w:r>
    </w:p>
    <w:p>
      <w:pPr>
        <w:spacing w:before="0" w:after="120" w:line="276" w:lineRule="auto"/>
      </w:pPr>
      <w:r>
        <w:rPr>
          <w:rFonts w:ascii="Times New Roman" w:hAnsi="Times New Roman"/>
          <w:b w:val="0"/>
          <w:i w:val="0"/>
          <w:sz w:val="22"/>
        </w:rPr>
        <w:t>(i) The actor-critic framework is highly effective for pixel-input continuous-track navigation: a 1.7M-parameter shared-CNN backbone is sufficient to reach a high-performance regime within 1.5M environment steps.</w:t>
      </w:r>
    </w:p>
    <w:p>
      <w:pPr>
        <w:spacing w:before="0" w:after="120" w:line="276" w:lineRule="auto"/>
      </w:pPr>
      <w:r>
        <w:rPr>
          <w:rFonts w:ascii="Times New Roman" w:hAnsi="Times New Roman"/>
          <w:b w:val="0"/>
          <w:i w:val="0"/>
          <w:sz w:val="22"/>
        </w:rPr>
        <w:t>(ii) PPO is robust to most hyperparameters but exquisitely sensitive to the entropy coefficient schedule. Annealing entropy to zero produces a deterministic policy with poor generalisation; preserving a 0.5% floor restored worst-case performance to the level recommended by the published baselines.</w:t>
      </w:r>
    </w:p>
    <w:p>
      <w:pPr>
        <w:spacing w:before="0" w:after="120" w:line="276" w:lineRule="auto"/>
      </w:pPr>
      <w:r>
        <w:rPr>
          <w:rFonts w:ascii="Times New Roman" w:hAnsi="Times New Roman"/>
          <w:b w:val="0"/>
          <w:i w:val="0"/>
          <w:sz w:val="22"/>
        </w:rPr>
        <w:t>(iii) Vectorised parallel environments are essential for tractable training: a 4.5× throughput improvement over a single environment was achieved by running 8 environments in parallel with AsyncVectorEnv, bringing the 1.5M-step budget within a single evening's training time on a consumer-grade GPU.</w:t>
      </w:r>
    </w:p>
    <w:p>
      <w:pPr>
        <w:spacing w:before="0" w:after="120" w:line="276" w:lineRule="auto"/>
      </w:pPr>
      <w:r>
        <w:rPr>
          <w:rFonts w:ascii="Times New Roman" w:hAnsi="Times New Roman"/>
          <w:b w:val="0"/>
          <w:i w:val="0"/>
          <w:sz w:val="22"/>
        </w:rPr>
        <w:t>Limitations include single-seed training (a paper-quality result would average over 3–5 seeds), no observation-space normalisation, and a 15% failure rate on out-of-distribution track topologies that suggests further training (toward 3M steps) or domain-randomisation augmentations would be the next natural directions for improvement.</w:t>
      </w:r>
    </w:p>
    <w:p>
      <w:pPr>
        <w:pStyle w:val="Heading1"/>
      </w:pPr>
      <w:r>
        <w:rPr>
          <w:rFonts w:ascii="Times New Roman" w:hAnsi="Times New Roman"/>
          <w:color w:val="000000"/>
          <w:sz w:val="28"/>
        </w:rPr>
        <w:t>References</w:t>
      </w:r>
    </w:p>
    <w:p>
      <w:pPr>
        <w:spacing w:before="0" w:after="80" w:line="276" w:lineRule="auto"/>
      </w:pPr>
      <w:r>
        <w:rPr>
          <w:rFonts w:ascii="Times New Roman" w:hAnsi="Times New Roman"/>
          <w:b w:val="0"/>
          <w:i w:val="0"/>
          <w:sz w:val="20"/>
        </w:rPr>
        <w:t>[1] J. Schulman, F. Wolski, P. Dhariwal, A. Radford, and O. Klimov, "Proximal Policy Optimization Algorithms," arXiv preprint arXiv:1707.06347, 2017.</w:t>
      </w:r>
    </w:p>
    <w:p>
      <w:pPr>
        <w:spacing w:before="0" w:after="80" w:line="276" w:lineRule="auto"/>
      </w:pPr>
      <w:r>
        <w:rPr>
          <w:rFonts w:ascii="Times New Roman" w:hAnsi="Times New Roman"/>
          <w:b w:val="0"/>
          <w:i w:val="0"/>
          <w:sz w:val="20"/>
        </w:rPr>
        <w:t>[2] J. Schulman, P. Moritz, S. Levine, M. Jordan, and P. Abbeel, "High-dimensional continuous control using generalized advantage estimation," arXiv preprint arXiv:1506.02438, 2015.</w:t>
      </w:r>
    </w:p>
    <w:p>
      <w:pPr>
        <w:spacing w:before="0" w:after="80" w:line="276" w:lineRule="auto"/>
      </w:pPr>
      <w:r>
        <w:rPr>
          <w:rFonts w:ascii="Times New Roman" w:hAnsi="Times New Roman"/>
          <w:b w:val="0"/>
          <w:i w:val="0"/>
          <w:sz w:val="20"/>
        </w:rPr>
        <w:t>[3] V. Mnih et al., "Human-level control through deep reinforcement learning," Nature, vol. 518, no. 7540, pp. 529–533, 2015.</w:t>
      </w:r>
    </w:p>
    <w:p>
      <w:pPr>
        <w:spacing w:before="0" w:after="80" w:line="276" w:lineRule="auto"/>
      </w:pPr>
      <w:r>
        <w:rPr>
          <w:rFonts w:ascii="Times New Roman" w:hAnsi="Times New Roman"/>
          <w:b w:val="0"/>
          <w:i w:val="0"/>
          <w:sz w:val="20"/>
        </w:rPr>
        <w:t>[4] A. Raffin, A. Hill, A. Gleave, A. Kanervisto, M. Ernestus, and N. Dormann, "Stable-Baselines3: Reliable Reinforcement Learning Implementations," J. Mach. Learn. Res., vol. 22, no. 268, pp. 1–8, 2021.</w:t>
      </w:r>
    </w:p>
    <w:p>
      <w:pPr>
        <w:spacing w:before="0" w:after="80" w:line="276" w:lineRule="auto"/>
      </w:pPr>
      <w:r>
        <w:rPr>
          <w:rFonts w:ascii="Times New Roman" w:hAnsi="Times New Roman"/>
          <w:b w:val="0"/>
          <w:i w:val="0"/>
          <w:sz w:val="20"/>
        </w:rPr>
        <w:t>[5] S. Huang, R. F. J. Dossa, A. Raffin, A. Kanervisto, and W. Wang, "The 37 Implementation Details of Proximal Policy Optimization," ICLR Blog Track, 2022. [Online]. Available: https://iclr-blog-track.github.io/2022/03/25/ppo-implementation-details/</w:t>
      </w:r>
    </w:p>
    <w:p>
      <w:pPr>
        <w:spacing w:before="0" w:after="80" w:line="276" w:lineRule="auto"/>
      </w:pPr>
      <w:r>
        <w:rPr>
          <w:rFonts w:ascii="Times New Roman" w:hAnsi="Times New Roman"/>
          <w:b w:val="0"/>
          <w:i w:val="0"/>
          <w:sz w:val="20"/>
        </w:rPr>
        <w:t>[6] Farama Foundation, "CarRacing-v3 Documentation." [Online]. Available: https://gymnasium.farama.org/environments/box2d/car_racing/</w:t>
      </w:r>
    </w:p>
    <w:p>
      <w:r>
        <w:br w:type="page"/>
      </w:r>
    </w:p>
    <w:p>
      <w:pPr>
        <w:pStyle w:val="Heading1"/>
      </w:pPr>
      <w:r>
        <w:rPr>
          <w:rFonts w:ascii="Times New Roman" w:hAnsi="Times New Roman"/>
          <w:color w:val="000000"/>
          <w:sz w:val="28"/>
        </w:rPr>
        <w:t>Appendix</w:t>
      </w:r>
    </w:p>
    <w:p>
      <w:pPr>
        <w:spacing w:before="0" w:after="160" w:line="276" w:lineRule="auto"/>
      </w:pPr>
      <w:r>
        <w:rPr>
          <w:rFonts w:ascii="Times New Roman" w:hAnsi="Times New Roman"/>
          <w:b w:val="0"/>
          <w:i/>
          <w:sz w:val="22"/>
        </w:rPr>
        <w:t>The following materials are supplementary evidence supporting the body of the report. They do not contribute to the 3000-word body count.</w:t>
      </w:r>
    </w:p>
    <w:p>
      <w:pPr>
        <w:pStyle w:val="Heading2"/>
      </w:pPr>
      <w:r>
        <w:rPr>
          <w:rFonts w:ascii="Times New Roman" w:hAnsi="Times New Roman"/>
          <w:color w:val="000000"/>
          <w:sz w:val="24"/>
        </w:rPr>
        <w:t>A. Acknowledgement of AI Tool Use</w:t>
      </w:r>
    </w:p>
    <w:p>
      <w:pPr>
        <w:spacing w:before="0" w:after="240" w:line="276" w:lineRule="auto"/>
      </w:pPr>
      <w:r>
        <w:rPr>
          <w:rFonts w:ascii="Times New Roman" w:hAnsi="Times New Roman"/>
          <w:b w:val="0"/>
          <w:i w:val="0"/>
          <w:sz w:val="22"/>
        </w:rPr>
        <w:t>Generative AI tools (Qwen 3.6 by Alibaba Cloud) were used during this project as a learning aid and code-review assistant. The student's contributions include: defining the project scope and design decisions; implementing and verifying all code in src/; running, diagnosing, and interpreting all training experiments; choosing the final hyperparameter configuration on the basis of measured diagnostics (KL divergence, clip fraction, entropy trajectory); and writing this report. The AI assistant was used to: clarify RL and PPO concepts during early-stage learning, suggest candidate implementation patterns from the published PPO literature [1, 2, 5], help locate bugs in the rollout buffer and the data-augmentation module, copy-edit portions of the report draft, and produce the hyperparameter table layout. All algorithmic choices, all numerical results, and all diagnostic interpretations are the student's own work, independently verified against the source code and TensorBoard logs in this submission. No code or text was used without verification.</w:t>
      </w:r>
    </w:p>
    <w:p>
      <w:pPr>
        <w:pStyle w:val="Heading2"/>
      </w:pPr>
      <w:r>
        <w:rPr>
          <w:rFonts w:ascii="Times New Roman" w:hAnsi="Times New Roman"/>
          <w:color w:val="000000"/>
          <w:sz w:val="24"/>
        </w:rPr>
        <w:t>B. PPO Update Pseudocode</w:t>
      </w:r>
    </w:p>
    <w:p>
      <w:pPr>
        <w:spacing w:before="0" w:after="120" w:line="276" w:lineRule="auto"/>
      </w:pPr>
      <w:r>
        <w:rPr>
          <w:rFonts w:ascii="Times New Roman" w:hAnsi="Times New Roman"/>
          <w:b w:val="0"/>
          <w:i w:val="0"/>
          <w:sz w:val="22"/>
        </w:rPr>
        <w:t>The exact procedure used for one training iteration is given below. ``θ_old`` denotes the policy parameters at the start of the rollout; ``buffer.obs`` etc. are the per-environment transitions stacked on the leading axis.</w:t>
      </w:r>
    </w:p>
    <w:p>
      <w:pPr>
        <w:spacing w:line="276" w:lineRule="auto" w:after="160"/>
      </w:pPr>
      <w:r>
        <w:rPr>
          <w:rFonts w:ascii="Consolas" w:hAnsi="Consolas"/>
          <w:sz w:val="18"/>
        </w:rPr>
        <w:t>Input: rollout buffer of size (n_steps, n_envs) with obs, actions, log_probs, values, rewards, dones</w:t>
        <w:br/>
        <w:t>Input: PPO agent with current policy π_θ and value V_θ</w:t>
        <w:br/>
        <w:br/>
        <w:t>1.  bootstrap_value &lt;- V_θ(s_{n_steps})</w:t>
        <w:br/>
        <w:t>2.  for t in reversed(range(n_steps)):</w:t>
        <w:br/>
        <w:t xml:space="preserve">      δ_t &lt;- rewards[t] + γ V_θ(s_{t+1}) (1 - d_{t+1}) - V_θ(s_t)</w:t>
        <w:br/>
        <w:t xml:space="preserve">      Â_t &lt;- δ_t + γλ (1 - d_{t+1}) Â_{t+1}</w:t>
        <w:br/>
        <w:t>3.  returns &lt;- Â + values</w:t>
        <w:br/>
        <w:t>4.  Â &lt;- (Â - mean(Â)) / (std(Â) + 1e-8)         # normalise</w:t>
        <w:br/>
        <w:br/>
        <w:t>5.  for epoch in 1..K:</w:t>
        <w:br/>
        <w:t xml:space="preserve">      for minibatch B in shuffle(rollout):</w:t>
        <w:br/>
        <w:t xml:space="preserve">        new_logp, entropy, V_pred &lt;- π_θ(B.obs, B.actions)</w:t>
        <w:br/>
        <w:t xml:space="preserve">        ratio &lt;- exp(new_logp - B.log_probs)</w:t>
        <w:br/>
        <w:t xml:space="preserve">        L_clip  &lt;- -min(ratio·B.Â, clip(ratio,1-ε,1+ε)·B.Â)</w:t>
        <w:br/>
        <w:t xml:space="preserve">        # value-function clipping</w:t>
        <w:br/>
        <w:t xml:space="preserve">        V_clipped &lt;- B.values + clamp(V_pred - B.values, -ε, +ε)</w:t>
        <w:br/>
        <w:t xml:space="preserve">        L_v &lt;- 0.5 · max((V_pred-B.ret)^2, (V_clipped-B.ret)^2)</w:t>
        <w:br/>
        <w:t xml:space="preserve">        L_ent &lt;- -entropy.mean()</w:t>
        <w:br/>
        <w:t xml:space="preserve">        loss &lt;- L_clip + 0.5·L_v + 0.01·L_ent</w:t>
        <w:br/>
        <w:t xml:space="preserve">        loss.backward();  clip_grad_norm(0.5);  Adam.step()</w:t>
        <w:br/>
        <w:br/>
        <w:t>6.  step_schedule(progress):</w:t>
        <w:br/>
        <w:t xml:space="preserve">      lr      &lt;- lr_init * (1 - progress)</w:t>
        <w:br/>
        <w:t xml:space="preserve">      ent_coef &lt;- max(ent_init * (1 - progress), 0.005)</w:t>
      </w:r>
    </w:p>
    <w:p>
      <w:pPr>
        <w:pStyle w:val="Heading2"/>
      </w:pPr>
      <w:r>
        <w:rPr>
          <w:rFonts w:ascii="Times New Roman" w:hAnsi="Times New Roman"/>
          <w:color w:val="000000"/>
          <w:sz w:val="24"/>
        </w:rPr>
        <w:t>C. Per-Episode Evaluation Returns</w:t>
      </w:r>
    </w:p>
    <w:p>
      <w:pPr>
        <w:spacing w:before="0" w:after="80" w:line="276" w:lineRule="auto"/>
      </w:pPr>
      <w:r>
        <w:rPr>
          <w:rFonts w:ascii="Times New Roman" w:hAnsi="Times New Roman"/>
          <w:b w:val="0"/>
          <w:i w:val="0"/>
          <w:sz w:val="22"/>
        </w:rPr>
        <w:t>Table B1 lists the return obtained by the submitted model (`models/ppo_final.pt`) on each of 20 unseen evaluation episodes (seeds 1000–1019). The summary statistics are: mean 830.17, standard deviation 104.79, minimum 436.81 (seed 1005), maximum 914.90 (seed 1004).</w:t>
      </w:r>
    </w:p>
    <w:p>
      <w:pPr>
        <w:spacing w:before="0" w:after="80" w:line="276" w:lineRule="auto"/>
        <w:jc w:val="center"/>
      </w:pPr>
      <w:r>
        <w:rPr>
          <w:rFonts w:ascii="Times New Roman" w:hAnsi="Times New Roman"/>
          <w:b w:val="0"/>
          <w:i/>
          <w:sz w:val="22"/>
        </w:rPr>
        <w:t>Table C1: 20-episode evaluation returns.</w:t>
      </w:r>
    </w:p>
    <w:tbl>
      <w:tblPr>
        <w:tblStyle w:val="LightGrid"/>
        <w:tblW w:type="auto" w:w="0"/>
        <w:tblLook w:firstColumn="1" w:firstRow="1" w:lastColumn="0" w:lastRow="0" w:noHBand="0" w:noVBand="1" w:val="04A0"/>
      </w:tblPr>
      <w:tblGrid>
        <w:gridCol w:w="2351"/>
        <w:gridCol w:w="2351"/>
        <w:gridCol w:w="2351"/>
        <w:gridCol w:w="2351"/>
      </w:tblGrid>
      <w:tr>
        <w:tc>
          <w:tcPr>
            <w:tcW w:type="dxa" w:w="2351"/>
          </w:tcPr>
          <w:p>
            <w:r>
              <w:rPr>
                <w:rFonts w:ascii="Times New Roman" w:hAnsi="Times New Roman"/>
                <w:b/>
                <w:sz w:val="20"/>
              </w:rPr>
              <w:t>Seed</w:t>
            </w:r>
          </w:p>
        </w:tc>
        <w:tc>
          <w:tcPr>
            <w:tcW w:type="dxa" w:w="2351"/>
          </w:tcPr>
          <w:p>
            <w:r>
              <w:rPr>
                <w:rFonts w:ascii="Times New Roman" w:hAnsi="Times New Roman"/>
                <w:b/>
                <w:sz w:val="20"/>
              </w:rPr>
              <w:t>Return</w:t>
            </w:r>
          </w:p>
        </w:tc>
        <w:tc>
          <w:tcPr>
            <w:tcW w:type="dxa" w:w="2351"/>
          </w:tcPr>
          <w:p>
            <w:r>
              <w:rPr>
                <w:rFonts w:ascii="Times New Roman" w:hAnsi="Times New Roman"/>
                <w:b/>
                <w:sz w:val="20"/>
              </w:rPr>
              <w:t>Seed</w:t>
            </w:r>
          </w:p>
        </w:tc>
        <w:tc>
          <w:tcPr>
            <w:tcW w:type="dxa" w:w="2351"/>
          </w:tcPr>
          <w:p>
            <w:r>
              <w:rPr>
                <w:rFonts w:ascii="Times New Roman" w:hAnsi="Times New Roman"/>
                <w:b/>
                <w:sz w:val="20"/>
              </w:rPr>
              <w:t>Return</w:t>
            </w:r>
          </w:p>
        </w:tc>
      </w:tr>
      <w:tr>
        <w:tc>
          <w:tcPr>
            <w:tcW w:type="dxa" w:w="2351"/>
          </w:tcPr>
          <w:p>
            <w:r>
              <w:rPr>
                <w:rFonts w:ascii="Times New Roman" w:hAnsi="Times New Roman"/>
                <w:sz w:val="20"/>
              </w:rPr>
              <w:t>1000</w:t>
            </w:r>
          </w:p>
        </w:tc>
        <w:tc>
          <w:tcPr>
            <w:tcW w:type="dxa" w:w="2351"/>
          </w:tcPr>
          <w:p>
            <w:r>
              <w:rPr>
                <w:rFonts w:ascii="Times New Roman" w:hAnsi="Times New Roman"/>
                <w:sz w:val="20"/>
              </w:rPr>
              <w:t>859.04</w:t>
            </w:r>
          </w:p>
        </w:tc>
        <w:tc>
          <w:tcPr>
            <w:tcW w:type="dxa" w:w="2351"/>
          </w:tcPr>
          <w:p>
            <w:r>
              <w:rPr>
                <w:rFonts w:ascii="Times New Roman" w:hAnsi="Times New Roman"/>
                <w:sz w:val="20"/>
              </w:rPr>
              <w:t>1010</w:t>
            </w:r>
          </w:p>
        </w:tc>
        <w:tc>
          <w:tcPr>
            <w:tcW w:type="dxa" w:w="2351"/>
          </w:tcPr>
          <w:p>
            <w:r>
              <w:rPr>
                <w:rFonts w:ascii="Times New Roman" w:hAnsi="Times New Roman"/>
                <w:sz w:val="20"/>
              </w:rPr>
              <w:t>891.07</w:t>
            </w:r>
          </w:p>
        </w:tc>
      </w:tr>
      <w:tr>
        <w:tc>
          <w:tcPr>
            <w:tcW w:type="dxa" w:w="2351"/>
          </w:tcPr>
          <w:p>
            <w:r>
              <w:rPr>
                <w:rFonts w:ascii="Times New Roman" w:hAnsi="Times New Roman"/>
                <w:sz w:val="20"/>
              </w:rPr>
              <w:t>1001</w:t>
            </w:r>
          </w:p>
        </w:tc>
        <w:tc>
          <w:tcPr>
            <w:tcW w:type="dxa" w:w="2351"/>
          </w:tcPr>
          <w:p>
            <w:r>
              <w:rPr>
                <w:rFonts w:ascii="Times New Roman" w:hAnsi="Times New Roman"/>
                <w:sz w:val="20"/>
              </w:rPr>
              <w:t>839.10</w:t>
            </w:r>
          </w:p>
        </w:tc>
        <w:tc>
          <w:tcPr>
            <w:tcW w:type="dxa" w:w="2351"/>
          </w:tcPr>
          <w:p>
            <w:r>
              <w:rPr>
                <w:rFonts w:ascii="Times New Roman" w:hAnsi="Times New Roman"/>
                <w:sz w:val="20"/>
              </w:rPr>
              <w:t>1011</w:t>
            </w:r>
          </w:p>
        </w:tc>
        <w:tc>
          <w:tcPr>
            <w:tcW w:type="dxa" w:w="2351"/>
          </w:tcPr>
          <w:p>
            <w:r>
              <w:rPr>
                <w:rFonts w:ascii="Times New Roman" w:hAnsi="Times New Roman"/>
                <w:sz w:val="20"/>
              </w:rPr>
              <w:t>863.58</w:t>
            </w:r>
          </w:p>
        </w:tc>
      </w:tr>
      <w:tr>
        <w:tc>
          <w:tcPr>
            <w:tcW w:type="dxa" w:w="2351"/>
          </w:tcPr>
          <w:p>
            <w:r>
              <w:rPr>
                <w:rFonts w:ascii="Times New Roman" w:hAnsi="Times New Roman"/>
                <w:sz w:val="20"/>
              </w:rPr>
              <w:t>1002</w:t>
            </w:r>
          </w:p>
        </w:tc>
        <w:tc>
          <w:tcPr>
            <w:tcW w:type="dxa" w:w="2351"/>
          </w:tcPr>
          <w:p>
            <w:r>
              <w:rPr>
                <w:rFonts w:ascii="Times New Roman" w:hAnsi="Times New Roman"/>
                <w:sz w:val="20"/>
              </w:rPr>
              <w:t>707.27</w:t>
            </w:r>
          </w:p>
        </w:tc>
        <w:tc>
          <w:tcPr>
            <w:tcW w:type="dxa" w:w="2351"/>
          </w:tcPr>
          <w:p>
            <w:r>
              <w:rPr>
                <w:rFonts w:ascii="Times New Roman" w:hAnsi="Times New Roman"/>
                <w:sz w:val="20"/>
              </w:rPr>
              <w:t>1012</w:t>
            </w:r>
          </w:p>
        </w:tc>
        <w:tc>
          <w:tcPr>
            <w:tcW w:type="dxa" w:w="2351"/>
          </w:tcPr>
          <w:p>
            <w:r>
              <w:rPr>
                <w:rFonts w:ascii="Times New Roman" w:hAnsi="Times New Roman"/>
                <w:sz w:val="20"/>
              </w:rPr>
              <w:t>852.70</w:t>
            </w:r>
          </w:p>
        </w:tc>
      </w:tr>
      <w:tr>
        <w:tc>
          <w:tcPr>
            <w:tcW w:type="dxa" w:w="2351"/>
          </w:tcPr>
          <w:p>
            <w:r>
              <w:rPr>
                <w:rFonts w:ascii="Times New Roman" w:hAnsi="Times New Roman"/>
                <w:sz w:val="20"/>
              </w:rPr>
              <w:t>1003</w:t>
            </w:r>
          </w:p>
        </w:tc>
        <w:tc>
          <w:tcPr>
            <w:tcW w:type="dxa" w:w="2351"/>
          </w:tcPr>
          <w:p>
            <w:r>
              <w:rPr>
                <w:rFonts w:ascii="Times New Roman" w:hAnsi="Times New Roman"/>
                <w:sz w:val="20"/>
              </w:rPr>
              <w:t>873.33</w:t>
            </w:r>
          </w:p>
        </w:tc>
        <w:tc>
          <w:tcPr>
            <w:tcW w:type="dxa" w:w="2351"/>
          </w:tcPr>
          <w:p>
            <w:r>
              <w:rPr>
                <w:rFonts w:ascii="Times New Roman" w:hAnsi="Times New Roman"/>
                <w:sz w:val="20"/>
              </w:rPr>
              <w:t>1013</w:t>
            </w:r>
          </w:p>
        </w:tc>
        <w:tc>
          <w:tcPr>
            <w:tcW w:type="dxa" w:w="2351"/>
          </w:tcPr>
          <w:p>
            <w:r>
              <w:rPr>
                <w:rFonts w:ascii="Times New Roman" w:hAnsi="Times New Roman"/>
                <w:sz w:val="20"/>
              </w:rPr>
              <w:t>776.01</w:t>
            </w:r>
          </w:p>
        </w:tc>
      </w:tr>
      <w:tr>
        <w:tc>
          <w:tcPr>
            <w:tcW w:type="dxa" w:w="2351"/>
          </w:tcPr>
          <w:p>
            <w:r>
              <w:rPr>
                <w:rFonts w:ascii="Times New Roman" w:hAnsi="Times New Roman"/>
                <w:sz w:val="20"/>
              </w:rPr>
              <w:t>1004</w:t>
            </w:r>
          </w:p>
        </w:tc>
        <w:tc>
          <w:tcPr>
            <w:tcW w:type="dxa" w:w="2351"/>
          </w:tcPr>
          <w:p>
            <w:r>
              <w:rPr>
                <w:rFonts w:ascii="Times New Roman" w:hAnsi="Times New Roman"/>
                <w:sz w:val="20"/>
              </w:rPr>
              <w:t>914.90</w:t>
            </w:r>
          </w:p>
        </w:tc>
        <w:tc>
          <w:tcPr>
            <w:tcW w:type="dxa" w:w="2351"/>
          </w:tcPr>
          <w:p>
            <w:r>
              <w:rPr>
                <w:rFonts w:ascii="Times New Roman" w:hAnsi="Times New Roman"/>
                <w:sz w:val="20"/>
              </w:rPr>
              <w:t>1014</w:t>
            </w:r>
          </w:p>
        </w:tc>
        <w:tc>
          <w:tcPr>
            <w:tcW w:type="dxa" w:w="2351"/>
          </w:tcPr>
          <w:p>
            <w:r>
              <w:rPr>
                <w:rFonts w:ascii="Times New Roman" w:hAnsi="Times New Roman"/>
                <w:sz w:val="20"/>
              </w:rPr>
              <w:t>859.46</w:t>
            </w:r>
          </w:p>
        </w:tc>
      </w:tr>
      <w:tr>
        <w:tc>
          <w:tcPr>
            <w:tcW w:type="dxa" w:w="2351"/>
          </w:tcPr>
          <w:p>
            <w:r>
              <w:rPr>
                <w:rFonts w:ascii="Times New Roman" w:hAnsi="Times New Roman"/>
                <w:sz w:val="20"/>
              </w:rPr>
              <w:t>1005</w:t>
            </w:r>
          </w:p>
        </w:tc>
        <w:tc>
          <w:tcPr>
            <w:tcW w:type="dxa" w:w="2351"/>
          </w:tcPr>
          <w:p>
            <w:r>
              <w:rPr>
                <w:rFonts w:ascii="Times New Roman" w:hAnsi="Times New Roman"/>
                <w:sz w:val="20"/>
              </w:rPr>
              <w:t>436.81</w:t>
            </w:r>
          </w:p>
        </w:tc>
        <w:tc>
          <w:tcPr>
            <w:tcW w:type="dxa" w:w="2351"/>
          </w:tcPr>
          <w:p>
            <w:r>
              <w:rPr>
                <w:rFonts w:ascii="Times New Roman" w:hAnsi="Times New Roman"/>
                <w:sz w:val="20"/>
              </w:rPr>
              <w:t>1015</w:t>
            </w:r>
          </w:p>
        </w:tc>
        <w:tc>
          <w:tcPr>
            <w:tcW w:type="dxa" w:w="2351"/>
          </w:tcPr>
          <w:p>
            <w:r>
              <w:rPr>
                <w:rFonts w:ascii="Times New Roman" w:hAnsi="Times New Roman"/>
                <w:sz w:val="20"/>
              </w:rPr>
              <w:t>883.66</w:t>
            </w:r>
          </w:p>
        </w:tc>
      </w:tr>
      <w:tr>
        <w:tc>
          <w:tcPr>
            <w:tcW w:type="dxa" w:w="2351"/>
          </w:tcPr>
          <w:p>
            <w:r>
              <w:rPr>
                <w:rFonts w:ascii="Times New Roman" w:hAnsi="Times New Roman"/>
                <w:sz w:val="20"/>
              </w:rPr>
              <w:t>1006</w:t>
            </w:r>
          </w:p>
        </w:tc>
        <w:tc>
          <w:tcPr>
            <w:tcW w:type="dxa" w:w="2351"/>
          </w:tcPr>
          <w:p>
            <w:r>
              <w:rPr>
                <w:rFonts w:ascii="Times New Roman" w:hAnsi="Times New Roman"/>
                <w:sz w:val="20"/>
              </w:rPr>
              <w:t>875.00</w:t>
            </w:r>
          </w:p>
        </w:tc>
        <w:tc>
          <w:tcPr>
            <w:tcW w:type="dxa" w:w="2351"/>
          </w:tcPr>
          <w:p>
            <w:r>
              <w:rPr>
                <w:rFonts w:ascii="Times New Roman" w:hAnsi="Times New Roman"/>
                <w:sz w:val="20"/>
              </w:rPr>
              <w:t>1016</w:t>
            </w:r>
          </w:p>
        </w:tc>
        <w:tc>
          <w:tcPr>
            <w:tcW w:type="dxa" w:w="2351"/>
          </w:tcPr>
          <w:p>
            <w:r>
              <w:rPr>
                <w:rFonts w:ascii="Times New Roman" w:hAnsi="Times New Roman"/>
                <w:sz w:val="20"/>
              </w:rPr>
              <w:t>890.29</w:t>
            </w:r>
          </w:p>
        </w:tc>
      </w:tr>
      <w:tr>
        <w:tc>
          <w:tcPr>
            <w:tcW w:type="dxa" w:w="2351"/>
          </w:tcPr>
          <w:p>
            <w:r>
              <w:rPr>
                <w:rFonts w:ascii="Times New Roman" w:hAnsi="Times New Roman"/>
                <w:sz w:val="20"/>
              </w:rPr>
              <w:t>1007</w:t>
            </w:r>
          </w:p>
        </w:tc>
        <w:tc>
          <w:tcPr>
            <w:tcW w:type="dxa" w:w="2351"/>
          </w:tcPr>
          <w:p>
            <w:r>
              <w:rPr>
                <w:rFonts w:ascii="Times New Roman" w:hAnsi="Times New Roman"/>
                <w:sz w:val="20"/>
              </w:rPr>
              <w:t>874.11</w:t>
            </w:r>
          </w:p>
        </w:tc>
        <w:tc>
          <w:tcPr>
            <w:tcW w:type="dxa" w:w="2351"/>
          </w:tcPr>
          <w:p>
            <w:r>
              <w:rPr>
                <w:rFonts w:ascii="Times New Roman" w:hAnsi="Times New Roman"/>
                <w:sz w:val="20"/>
              </w:rPr>
              <w:t>1017</w:t>
            </w:r>
          </w:p>
        </w:tc>
        <w:tc>
          <w:tcPr>
            <w:tcW w:type="dxa" w:w="2351"/>
          </w:tcPr>
          <w:p>
            <w:r>
              <w:rPr>
                <w:rFonts w:ascii="Times New Roman" w:hAnsi="Times New Roman"/>
                <w:sz w:val="20"/>
              </w:rPr>
              <w:t>724.10</w:t>
            </w:r>
          </w:p>
        </w:tc>
      </w:tr>
      <w:tr>
        <w:tc>
          <w:tcPr>
            <w:tcW w:type="dxa" w:w="2351"/>
          </w:tcPr>
          <w:p>
            <w:r>
              <w:rPr>
                <w:rFonts w:ascii="Times New Roman" w:hAnsi="Times New Roman"/>
                <w:sz w:val="20"/>
              </w:rPr>
              <w:t>1008</w:t>
            </w:r>
          </w:p>
        </w:tc>
        <w:tc>
          <w:tcPr>
            <w:tcW w:type="dxa" w:w="2351"/>
          </w:tcPr>
          <w:p>
            <w:r>
              <w:rPr>
                <w:rFonts w:ascii="Times New Roman" w:hAnsi="Times New Roman"/>
                <w:sz w:val="20"/>
              </w:rPr>
              <w:t>871.52</w:t>
            </w:r>
          </w:p>
        </w:tc>
        <w:tc>
          <w:tcPr>
            <w:tcW w:type="dxa" w:w="2351"/>
          </w:tcPr>
          <w:p>
            <w:r>
              <w:rPr>
                <w:rFonts w:ascii="Times New Roman" w:hAnsi="Times New Roman"/>
                <w:sz w:val="20"/>
              </w:rPr>
              <w:t>1018</w:t>
            </w:r>
          </w:p>
        </w:tc>
        <w:tc>
          <w:tcPr>
            <w:tcW w:type="dxa" w:w="2351"/>
          </w:tcPr>
          <w:p>
            <w:r>
              <w:rPr>
                <w:rFonts w:ascii="Times New Roman" w:hAnsi="Times New Roman"/>
                <w:sz w:val="20"/>
              </w:rPr>
              <w:t>830.03</w:t>
            </w:r>
          </w:p>
        </w:tc>
      </w:tr>
      <w:tr>
        <w:tc>
          <w:tcPr>
            <w:tcW w:type="dxa" w:w="2351"/>
          </w:tcPr>
          <w:p>
            <w:r>
              <w:rPr>
                <w:rFonts w:ascii="Times New Roman" w:hAnsi="Times New Roman"/>
                <w:sz w:val="20"/>
              </w:rPr>
              <w:t>1009</w:t>
            </w:r>
          </w:p>
        </w:tc>
        <w:tc>
          <w:tcPr>
            <w:tcW w:type="dxa" w:w="2351"/>
          </w:tcPr>
          <w:p>
            <w:r>
              <w:rPr>
                <w:rFonts w:ascii="Times New Roman" w:hAnsi="Times New Roman"/>
                <w:sz w:val="20"/>
              </w:rPr>
              <w:t>888.89</w:t>
            </w:r>
          </w:p>
        </w:tc>
        <w:tc>
          <w:tcPr>
            <w:tcW w:type="dxa" w:w="2351"/>
          </w:tcPr>
          <w:p>
            <w:r>
              <w:rPr>
                <w:rFonts w:ascii="Times New Roman" w:hAnsi="Times New Roman"/>
                <w:sz w:val="20"/>
              </w:rPr>
              <w:t>1019</w:t>
            </w:r>
          </w:p>
        </w:tc>
        <w:tc>
          <w:tcPr>
            <w:tcW w:type="dxa" w:w="2351"/>
          </w:tcPr>
          <w:p>
            <w:r>
              <w:rPr>
                <w:rFonts w:ascii="Times New Roman" w:hAnsi="Times New Roman"/>
                <w:sz w:val="20"/>
              </w:rPr>
              <w:t>892.57</w:t>
            </w:r>
          </w:p>
        </w:tc>
      </w:tr>
    </w:tbl>
    <w:p/>
    <w:p>
      <w:pPr>
        <w:pStyle w:val="Heading2"/>
      </w:pPr>
      <w:r>
        <w:rPr>
          <w:rFonts w:ascii="Times New Roman" w:hAnsi="Times New Roman"/>
          <w:color w:val="000000"/>
          <w:sz w:val="24"/>
        </w:rPr>
        <w:t>D. Checkpoint Selection Procedure</w:t>
      </w:r>
    </w:p>
    <w:p>
      <w:pPr>
        <w:spacing w:before="0" w:after="80" w:line="276" w:lineRule="auto"/>
      </w:pPr>
      <w:r>
        <w:rPr>
          <w:rFonts w:ascii="Times New Roman" w:hAnsi="Times New Roman"/>
          <w:b w:val="0"/>
          <w:i w:val="0"/>
          <w:sz w:val="22"/>
        </w:rPr>
        <w:t>We selected the submitted model (`iter_0700.pt`, training step ≈1.43M) by scanning all 36 saved checkpoints (every 20 iterations) on a held-out seed range disjoint from both training and final evaluation. Each candidate was evaluated stochastically for 5 episodes; the highest-mean checkpoints are listed in Table D1. We additionally verified the selected checkpoint on the final 20-seed evaluation set reported in Section 4.2 and Appendix C.</w:t>
      </w:r>
    </w:p>
    <w:p>
      <w:pPr>
        <w:spacing w:before="0" w:after="80" w:line="276" w:lineRule="auto"/>
        <w:jc w:val="center"/>
      </w:pPr>
      <w:r>
        <w:rPr>
          <w:rFonts w:ascii="Times New Roman" w:hAnsi="Times New Roman"/>
          <w:b w:val="0"/>
          <w:i/>
          <w:sz w:val="22"/>
        </w:rPr>
        <w:t>Table D1: Top checkpoints by stochastic mean return (5 episodes, held-out seeds).</w:t>
      </w:r>
    </w:p>
    <w:tbl>
      <w:tblPr>
        <w:tblStyle w:val="LightGrid"/>
        <w:tblW w:type="auto" w:w="0"/>
        <w:tblLook w:firstColumn="1" w:firstRow="1" w:lastColumn="0" w:lastRow="0" w:noHBand="0" w:noVBand="1" w:val="04A0"/>
      </w:tblPr>
      <w:tblGrid>
        <w:gridCol w:w="2351"/>
        <w:gridCol w:w="2351"/>
        <w:gridCol w:w="2351"/>
        <w:gridCol w:w="2351"/>
      </w:tblGrid>
      <w:tr>
        <w:tc>
          <w:tcPr>
            <w:tcW w:type="dxa" w:w="2351"/>
          </w:tcPr>
          <w:p>
            <w:r>
              <w:rPr>
                <w:rFonts w:ascii="Times New Roman" w:hAnsi="Times New Roman"/>
                <w:b/>
                <w:sz w:val="20"/>
              </w:rPr>
              <w:t>Checkpoint</w:t>
            </w:r>
          </w:p>
        </w:tc>
        <w:tc>
          <w:tcPr>
            <w:tcW w:type="dxa" w:w="2351"/>
          </w:tcPr>
          <w:p>
            <w:r>
              <w:rPr>
                <w:rFonts w:ascii="Times New Roman" w:hAnsi="Times New Roman"/>
                <w:b/>
                <w:sz w:val="20"/>
              </w:rPr>
              <w:t>Mean</w:t>
            </w:r>
          </w:p>
        </w:tc>
        <w:tc>
          <w:tcPr>
            <w:tcW w:type="dxa" w:w="2351"/>
          </w:tcPr>
          <w:p>
            <w:r>
              <w:rPr>
                <w:rFonts w:ascii="Times New Roman" w:hAnsi="Times New Roman"/>
                <w:b/>
                <w:sz w:val="20"/>
              </w:rPr>
              <w:t>Std</w:t>
            </w:r>
          </w:p>
        </w:tc>
        <w:tc>
          <w:tcPr>
            <w:tcW w:type="dxa" w:w="2351"/>
          </w:tcPr>
          <w:p>
            <w:r>
              <w:rPr>
                <w:rFonts w:ascii="Times New Roman" w:hAnsi="Times New Roman"/>
                <w:b/>
                <w:sz w:val="20"/>
              </w:rPr>
              <w:t>Min</w:t>
            </w:r>
          </w:p>
        </w:tc>
      </w:tr>
      <w:tr>
        <w:tc>
          <w:tcPr>
            <w:tcW w:type="dxa" w:w="2351"/>
          </w:tcPr>
          <w:p>
            <w:r>
              <w:rPr>
                <w:rFonts w:ascii="Times New Roman" w:hAnsi="Times New Roman"/>
                <w:sz w:val="20"/>
              </w:rPr>
              <w:t>iter_0580</w:t>
            </w:r>
          </w:p>
        </w:tc>
        <w:tc>
          <w:tcPr>
            <w:tcW w:type="dxa" w:w="2351"/>
          </w:tcPr>
          <w:p>
            <w:r>
              <w:rPr>
                <w:rFonts w:ascii="Times New Roman" w:hAnsi="Times New Roman"/>
                <w:sz w:val="20"/>
              </w:rPr>
              <w:t>884.1</w:t>
            </w:r>
          </w:p>
        </w:tc>
        <w:tc>
          <w:tcPr>
            <w:tcW w:type="dxa" w:w="2351"/>
          </w:tcPr>
          <w:p>
            <w:r>
              <w:rPr>
                <w:rFonts w:ascii="Times New Roman" w:hAnsi="Times New Roman"/>
                <w:sz w:val="20"/>
              </w:rPr>
              <w:t>24.9</w:t>
            </w:r>
          </w:p>
        </w:tc>
        <w:tc>
          <w:tcPr>
            <w:tcW w:type="dxa" w:w="2351"/>
          </w:tcPr>
          <w:p>
            <w:r>
              <w:rPr>
                <w:rFonts w:ascii="Times New Roman" w:hAnsi="Times New Roman"/>
                <w:sz w:val="20"/>
              </w:rPr>
              <w:t>846.8</w:t>
            </w:r>
          </w:p>
        </w:tc>
      </w:tr>
      <w:tr>
        <w:tc>
          <w:tcPr>
            <w:tcW w:type="dxa" w:w="2351"/>
          </w:tcPr>
          <w:p>
            <w:r>
              <w:rPr>
                <w:rFonts w:ascii="Times New Roman" w:hAnsi="Times New Roman"/>
                <w:sz w:val="20"/>
              </w:rPr>
              <w:t>iter_0700  (selected)</w:t>
            </w:r>
          </w:p>
        </w:tc>
        <w:tc>
          <w:tcPr>
            <w:tcW w:type="dxa" w:w="2351"/>
          </w:tcPr>
          <w:p>
            <w:r>
              <w:rPr>
                <w:rFonts w:ascii="Times New Roman" w:hAnsi="Times New Roman"/>
                <w:sz w:val="20"/>
              </w:rPr>
              <w:t>879.5</w:t>
            </w:r>
          </w:p>
        </w:tc>
        <w:tc>
          <w:tcPr>
            <w:tcW w:type="dxa" w:w="2351"/>
          </w:tcPr>
          <w:p>
            <w:r>
              <w:rPr>
                <w:rFonts w:ascii="Times New Roman" w:hAnsi="Times New Roman"/>
                <w:sz w:val="20"/>
              </w:rPr>
              <w:t>14.8</w:t>
            </w:r>
          </w:p>
        </w:tc>
        <w:tc>
          <w:tcPr>
            <w:tcW w:type="dxa" w:w="2351"/>
          </w:tcPr>
          <w:p>
            <w:r>
              <w:rPr>
                <w:rFonts w:ascii="Times New Roman" w:hAnsi="Times New Roman"/>
                <w:sz w:val="20"/>
              </w:rPr>
              <w:t>864.5</w:t>
            </w:r>
          </w:p>
        </w:tc>
      </w:tr>
      <w:tr>
        <w:tc>
          <w:tcPr>
            <w:tcW w:type="dxa" w:w="2351"/>
          </w:tcPr>
          <w:p>
            <w:r>
              <w:rPr>
                <w:rFonts w:ascii="Times New Roman" w:hAnsi="Times New Roman"/>
                <w:sz w:val="20"/>
              </w:rPr>
              <w:t>iter_0620</w:t>
            </w:r>
          </w:p>
        </w:tc>
        <w:tc>
          <w:tcPr>
            <w:tcW w:type="dxa" w:w="2351"/>
          </w:tcPr>
          <w:p>
            <w:r>
              <w:rPr>
                <w:rFonts w:ascii="Times New Roman" w:hAnsi="Times New Roman"/>
                <w:sz w:val="20"/>
              </w:rPr>
              <w:t>868.8</w:t>
            </w:r>
          </w:p>
        </w:tc>
        <w:tc>
          <w:tcPr>
            <w:tcW w:type="dxa" w:w="2351"/>
          </w:tcPr>
          <w:p>
            <w:r>
              <w:rPr>
                <w:rFonts w:ascii="Times New Roman" w:hAnsi="Times New Roman"/>
                <w:sz w:val="20"/>
              </w:rPr>
              <w:t>40.7</w:t>
            </w:r>
          </w:p>
        </w:tc>
        <w:tc>
          <w:tcPr>
            <w:tcW w:type="dxa" w:w="2351"/>
          </w:tcPr>
          <w:p>
            <w:r>
              <w:rPr>
                <w:rFonts w:ascii="Times New Roman" w:hAnsi="Times New Roman"/>
                <w:sz w:val="20"/>
              </w:rPr>
              <w:t>815.8</w:t>
            </w:r>
          </w:p>
        </w:tc>
      </w:tr>
      <w:tr>
        <w:tc>
          <w:tcPr>
            <w:tcW w:type="dxa" w:w="2351"/>
          </w:tcPr>
          <w:p>
            <w:r>
              <w:rPr>
                <w:rFonts w:ascii="Times New Roman" w:hAnsi="Times New Roman"/>
                <w:sz w:val="20"/>
              </w:rPr>
              <w:t>iter_0660</w:t>
            </w:r>
          </w:p>
        </w:tc>
        <w:tc>
          <w:tcPr>
            <w:tcW w:type="dxa" w:w="2351"/>
          </w:tcPr>
          <w:p>
            <w:r>
              <w:rPr>
                <w:rFonts w:ascii="Times New Roman" w:hAnsi="Times New Roman"/>
                <w:sz w:val="20"/>
              </w:rPr>
              <w:t>848.5</w:t>
            </w:r>
          </w:p>
        </w:tc>
        <w:tc>
          <w:tcPr>
            <w:tcW w:type="dxa" w:w="2351"/>
          </w:tcPr>
          <w:p>
            <w:r>
              <w:rPr>
                <w:rFonts w:ascii="Times New Roman" w:hAnsi="Times New Roman"/>
                <w:sz w:val="20"/>
              </w:rPr>
              <w:t>114.8</w:t>
            </w:r>
          </w:p>
        </w:tc>
        <w:tc>
          <w:tcPr>
            <w:tcW w:type="dxa" w:w="2351"/>
          </w:tcPr>
          <w:p>
            <w:r>
              <w:rPr>
                <w:rFonts w:ascii="Times New Roman" w:hAnsi="Times New Roman"/>
                <w:sz w:val="20"/>
              </w:rPr>
              <w:t>620.5</w:t>
            </w:r>
          </w:p>
        </w:tc>
      </w:tr>
      <w:tr>
        <w:tc>
          <w:tcPr>
            <w:tcW w:type="dxa" w:w="2351"/>
          </w:tcPr>
          <w:p>
            <w:r>
              <w:rPr>
                <w:rFonts w:ascii="Times New Roman" w:hAnsi="Times New Roman"/>
                <w:sz w:val="20"/>
              </w:rPr>
              <w:t>final.pt</w:t>
            </w:r>
          </w:p>
        </w:tc>
        <w:tc>
          <w:tcPr>
            <w:tcW w:type="dxa" w:w="2351"/>
          </w:tcPr>
          <w:p>
            <w:r>
              <w:rPr>
                <w:rFonts w:ascii="Times New Roman" w:hAnsi="Times New Roman"/>
                <w:sz w:val="20"/>
              </w:rPr>
              <w:t>845.7</w:t>
            </w:r>
          </w:p>
        </w:tc>
        <w:tc>
          <w:tcPr>
            <w:tcW w:type="dxa" w:w="2351"/>
          </w:tcPr>
          <w:p>
            <w:r>
              <w:rPr>
                <w:rFonts w:ascii="Times New Roman" w:hAnsi="Times New Roman"/>
                <w:sz w:val="20"/>
              </w:rPr>
              <w:t>107.3</w:t>
            </w:r>
          </w:p>
        </w:tc>
        <w:tc>
          <w:tcPr>
            <w:tcW w:type="dxa" w:w="2351"/>
          </w:tcPr>
          <w:p>
            <w:r>
              <w:rPr>
                <w:rFonts w:ascii="Times New Roman" w:hAnsi="Times New Roman"/>
                <w:sz w:val="20"/>
              </w:rPr>
              <w:t>634.0</w:t>
            </w:r>
          </w:p>
        </w:tc>
      </w:tr>
      <w:tr>
        <w:tc>
          <w:tcPr>
            <w:tcW w:type="dxa" w:w="2351"/>
          </w:tcPr>
          <w:p>
            <w:r>
              <w:rPr>
                <w:rFonts w:ascii="Times New Roman" w:hAnsi="Times New Roman"/>
                <w:sz w:val="20"/>
              </w:rPr>
              <w:t>iter_0500</w:t>
            </w:r>
          </w:p>
        </w:tc>
        <w:tc>
          <w:tcPr>
            <w:tcW w:type="dxa" w:w="2351"/>
          </w:tcPr>
          <w:p>
            <w:r>
              <w:rPr>
                <w:rFonts w:ascii="Times New Roman" w:hAnsi="Times New Roman"/>
                <w:sz w:val="20"/>
              </w:rPr>
              <w:t>773.5</w:t>
            </w:r>
          </w:p>
        </w:tc>
        <w:tc>
          <w:tcPr>
            <w:tcW w:type="dxa" w:w="2351"/>
          </w:tcPr>
          <w:p>
            <w:r>
              <w:rPr>
                <w:rFonts w:ascii="Times New Roman" w:hAnsi="Times New Roman"/>
                <w:sz w:val="20"/>
              </w:rPr>
              <w:t>164.0</w:t>
            </w:r>
          </w:p>
        </w:tc>
        <w:tc>
          <w:tcPr>
            <w:tcW w:type="dxa" w:w="2351"/>
          </w:tcPr>
          <w:p>
            <w:r>
              <w:rPr>
                <w:rFonts w:ascii="Times New Roman" w:hAnsi="Times New Roman"/>
                <w:sz w:val="20"/>
              </w:rPr>
              <w:t>489.4</w:t>
            </w:r>
          </w:p>
        </w:tc>
      </w:tr>
      <w:tr>
        <w:tc>
          <w:tcPr>
            <w:tcW w:type="dxa" w:w="2351"/>
          </w:tcPr>
          <w:p>
            <w:r>
              <w:rPr>
                <w:rFonts w:ascii="Times New Roman" w:hAnsi="Times New Roman"/>
                <w:sz w:val="20"/>
              </w:rPr>
              <w:t>iter_0420</w:t>
            </w:r>
          </w:p>
        </w:tc>
        <w:tc>
          <w:tcPr>
            <w:tcW w:type="dxa" w:w="2351"/>
          </w:tcPr>
          <w:p>
            <w:r>
              <w:rPr>
                <w:rFonts w:ascii="Times New Roman" w:hAnsi="Times New Roman"/>
                <w:sz w:val="20"/>
              </w:rPr>
              <w:t>772.8</w:t>
            </w:r>
          </w:p>
        </w:tc>
        <w:tc>
          <w:tcPr>
            <w:tcW w:type="dxa" w:w="2351"/>
          </w:tcPr>
          <w:p>
            <w:r>
              <w:rPr>
                <w:rFonts w:ascii="Times New Roman" w:hAnsi="Times New Roman"/>
                <w:sz w:val="20"/>
              </w:rPr>
              <w:t>134.0</w:t>
            </w:r>
          </w:p>
        </w:tc>
        <w:tc>
          <w:tcPr>
            <w:tcW w:type="dxa" w:w="2351"/>
          </w:tcPr>
          <w:p>
            <w:r>
              <w:rPr>
                <w:rFonts w:ascii="Times New Roman" w:hAnsi="Times New Roman"/>
                <w:sz w:val="20"/>
              </w:rPr>
              <w:t>550.2</w:t>
            </w:r>
          </w:p>
        </w:tc>
      </w:tr>
    </w:tbl>
    <w:p/>
    <w:p>
      <w:pPr>
        <w:spacing w:before="0" w:after="160" w:line="276" w:lineRule="auto"/>
      </w:pPr>
      <w:r>
        <w:rPr>
          <w:rFonts w:ascii="Times New Roman" w:hAnsi="Times New Roman"/>
          <w:b w:val="0"/>
          <w:i w:val="0"/>
          <w:sz w:val="22"/>
        </w:rPr>
        <w:t>We selected iter_0700 over the slightly higher-mean iter_0580 because of its substantially lower variance (std 14.8 vs 24.9) and higher worst-case return (min 864.5 vs 846.8) on the held-out seeds — the same selection criterion (worst-case robustness) that motivates the procedure in Section 3.4.</w:t>
      </w:r>
    </w:p>
    <w:p>
      <w:pPr>
        <w:pStyle w:val="Heading2"/>
      </w:pPr>
      <w:r>
        <w:rPr>
          <w:rFonts w:ascii="Times New Roman" w:hAnsi="Times New Roman"/>
          <w:color w:val="000000"/>
          <w:sz w:val="24"/>
        </w:rPr>
        <w:t>E. Negative-Result Ablations</w:t>
      </w:r>
    </w:p>
    <w:p>
      <w:pPr>
        <w:spacing w:before="0" w:after="80" w:line="276" w:lineRule="auto"/>
      </w:pPr>
      <w:r>
        <w:rPr>
          <w:rFonts w:ascii="Times New Roman" w:hAnsi="Times New Roman"/>
          <w:b w:val="0"/>
          <w:i w:val="0"/>
          <w:sz w:val="22"/>
        </w:rPr>
        <w:t>Section 4.4 references three further refinement attempts that each failed in instructive ways. Their training-curve summaries are tabulated below to support the discussion.</w:t>
      </w:r>
    </w:p>
    <w:p>
      <w:pPr>
        <w:spacing w:before="0" w:after="80" w:line="276" w:lineRule="auto"/>
        <w:jc w:val="center"/>
      </w:pPr>
      <w:r>
        <w:rPr>
          <w:rFonts w:ascii="Times New Roman" w:hAnsi="Times New Roman"/>
          <w:b w:val="0"/>
          <w:i/>
          <w:sz w:val="22"/>
        </w:rPr>
        <w:t>Table E1: Negative-result ablation summary.</w:t>
      </w:r>
    </w:p>
    <w:tbl>
      <w:tblPr>
        <w:tblStyle w:val="LightGrid"/>
        <w:tblW w:type="auto" w:w="0"/>
        <w:tblLook w:firstColumn="1" w:firstRow="1" w:lastColumn="0" w:lastRow="0" w:noHBand="0" w:noVBand="1" w:val="04A0"/>
      </w:tblPr>
      <w:tblGrid>
        <w:gridCol w:w="2351"/>
        <w:gridCol w:w="2351"/>
        <w:gridCol w:w="2351"/>
        <w:gridCol w:w="2351"/>
      </w:tblGrid>
      <w:tr>
        <w:tc>
          <w:tcPr>
            <w:tcW w:type="dxa" w:w="2351"/>
          </w:tcPr>
          <w:p>
            <w:r>
              <w:rPr>
                <w:rFonts w:ascii="Times New Roman" w:hAnsi="Times New Roman"/>
                <w:b/>
                <w:sz w:val="18"/>
              </w:rPr>
              <w:t>Variant</w:t>
            </w:r>
          </w:p>
        </w:tc>
        <w:tc>
          <w:tcPr>
            <w:tcW w:type="dxa" w:w="2351"/>
          </w:tcPr>
          <w:p>
            <w:r>
              <w:rPr>
                <w:rFonts w:ascii="Times New Roman" w:hAnsi="Times New Roman"/>
                <w:b/>
                <w:sz w:val="18"/>
              </w:rPr>
              <w:t>Modification</w:t>
            </w:r>
          </w:p>
        </w:tc>
        <w:tc>
          <w:tcPr>
            <w:tcW w:type="dxa" w:w="2351"/>
          </w:tcPr>
          <w:p>
            <w:r>
              <w:rPr>
                <w:rFonts w:ascii="Times New Roman" w:hAnsi="Times New Roman"/>
                <w:b/>
                <w:sz w:val="18"/>
              </w:rPr>
              <w:t>Outcome</w:t>
            </w:r>
          </w:p>
        </w:tc>
        <w:tc>
          <w:tcPr>
            <w:tcW w:type="dxa" w:w="2351"/>
          </w:tcPr>
          <w:p>
            <w:r>
              <w:rPr>
                <w:rFonts w:ascii="Times New Roman" w:hAnsi="Times New Roman"/>
                <w:b/>
                <w:sz w:val="18"/>
              </w:rPr>
              <w:t>Diagnosis</w:t>
            </w:r>
          </w:p>
        </w:tc>
      </w:tr>
      <w:tr>
        <w:tc>
          <w:tcPr>
            <w:tcW w:type="dxa" w:w="2351"/>
          </w:tcPr>
          <w:p>
            <w:r>
              <w:rPr>
                <w:rFonts w:ascii="Times New Roman" w:hAnsi="Times New Roman"/>
                <w:sz w:val="18"/>
              </w:rPr>
              <w:t>v4</w:t>
            </w:r>
          </w:p>
        </w:tc>
        <w:tc>
          <w:tcPr>
            <w:tcW w:type="dxa" w:w="2351"/>
          </w:tcPr>
          <w:p>
            <w:r>
              <w:rPr>
                <w:rFonts w:ascii="Times New Roman" w:hAnsi="Times New Roman"/>
                <w:sz w:val="18"/>
              </w:rPr>
              <w:t>+ KL early stop (0.015) + clip annealing + larger batch 128</w:t>
            </w:r>
          </w:p>
        </w:tc>
        <w:tc>
          <w:tcPr>
            <w:tcW w:type="dxa" w:w="2351"/>
          </w:tcPr>
          <w:p>
            <w:r>
              <w:rPr>
                <w:rFonts w:ascii="Times New Roman" w:hAnsi="Times New Roman"/>
                <w:sz w:val="18"/>
              </w:rPr>
              <w:t>Early stop fired in 80% of iterations; effective update count fell to 39% of nominal</w:t>
            </w:r>
          </w:p>
        </w:tc>
        <w:tc>
          <w:tcPr>
            <w:tcW w:type="dxa" w:w="2351"/>
          </w:tcPr>
          <w:p>
            <w:r>
              <w:rPr>
                <w:rFonts w:ascii="Times New Roman" w:hAnsi="Times New Roman"/>
                <w:sz w:val="18"/>
              </w:rPr>
              <w:t>Larger batch + augmentation inflated natural KL beyond the trigger threshold</w:t>
            </w:r>
          </w:p>
        </w:tc>
      </w:tr>
      <w:tr>
        <w:tc>
          <w:tcPr>
            <w:tcW w:type="dxa" w:w="2351"/>
          </w:tcPr>
          <w:p>
            <w:r>
              <w:rPr>
                <w:rFonts w:ascii="Times New Roman" w:hAnsi="Times New Roman"/>
                <w:sz w:val="18"/>
              </w:rPr>
              <w:t>v5</w:t>
            </w:r>
          </w:p>
        </w:tc>
        <w:tc>
          <w:tcPr>
            <w:tcW w:type="dxa" w:w="2351"/>
          </w:tcPr>
          <w:p>
            <w:r>
              <w:rPr>
                <w:rFonts w:ascii="Times New Roman" w:hAnsi="Times New Roman"/>
                <w:sz w:val="18"/>
              </w:rPr>
              <w:t>+ RAD-style random-shift augmentation</w:t>
            </w:r>
          </w:p>
        </w:tc>
        <w:tc>
          <w:tcPr>
            <w:tcW w:type="dxa" w:w="2351"/>
          </w:tcPr>
          <w:p>
            <w:r>
              <w:rPr>
                <w:rFonts w:ascii="Times New Roman" w:hAnsi="Times New Roman"/>
                <w:sz w:val="18"/>
              </w:rPr>
              <w:t>Peak +811 at step 258K, collapsed to −84 by step 383K</w:t>
            </w:r>
          </w:p>
        </w:tc>
        <w:tc>
          <w:tcPr>
            <w:tcW w:type="dxa" w:w="2351"/>
          </w:tcPr>
          <w:p>
            <w:r>
              <w:rPr>
                <w:rFonts w:ascii="Times New Roman" w:hAnsi="Times New Roman"/>
                <w:sz w:val="18"/>
              </w:rPr>
              <w:t>Buffer's old log-prob computed on raw obs, new log-prob on augmented obs; ratio variance unbounded</w:t>
            </w:r>
          </w:p>
        </w:tc>
      </w:tr>
      <w:tr>
        <w:tc>
          <w:tcPr>
            <w:tcW w:type="dxa" w:w="2351"/>
          </w:tcPr>
          <w:p>
            <w:r>
              <w:rPr>
                <w:rFonts w:ascii="Times New Roman" w:hAnsi="Times New Roman"/>
                <w:sz w:val="18"/>
              </w:rPr>
              <w:t>v6</w:t>
            </w:r>
          </w:p>
        </w:tc>
        <w:tc>
          <w:tcPr>
            <w:tcW w:type="dxa" w:w="2351"/>
          </w:tcPr>
          <w:p>
            <w:r>
              <w:rPr>
                <w:rFonts w:ascii="Times New Roman" w:hAnsi="Times New Roman"/>
                <w:sz w:val="18"/>
              </w:rPr>
              <w:t>+ γ 0.99→0.995 + 5M total steps</w:t>
            </w:r>
          </w:p>
        </w:tc>
        <w:tc>
          <w:tcPr>
            <w:tcW w:type="dxa" w:w="2351"/>
          </w:tcPr>
          <w:p>
            <w:r>
              <w:rPr>
                <w:rFonts w:ascii="Times New Roman" w:hAnsi="Times New Roman"/>
                <w:sz w:val="18"/>
              </w:rPr>
              <w:t>Peak +770 at step 278K, fell to +599 by step 405K (aborted at 8% progress)</w:t>
            </w:r>
          </w:p>
        </w:tc>
        <w:tc>
          <w:tcPr>
            <w:tcW w:type="dxa" w:w="2351"/>
          </w:tcPr>
          <w:p>
            <w:r>
              <w:rPr>
                <w:rFonts w:ascii="Times New Roman" w:hAnsi="Times New Roman"/>
                <w:sz w:val="18"/>
              </w:rPr>
              <w:t>Larger γ amplifies advantage magnitudes, driving the same entropy-collapse mechanism</w:t>
            </w:r>
          </w:p>
        </w:tc>
      </w:tr>
    </w:tbl>
    <w:p/>
    <w:p>
      <w:pPr>
        <w:pStyle w:val="Heading2"/>
      </w:pPr>
      <w:r>
        <w:rPr>
          <w:rFonts w:ascii="Times New Roman" w:hAnsi="Times New Roman"/>
          <w:color w:val="000000"/>
          <w:sz w:val="24"/>
        </w:rPr>
        <w:t>F. Reproducibility</w:t>
      </w:r>
    </w:p>
    <w:p>
      <w:pPr>
        <w:spacing w:before="0" w:after="80" w:line="276" w:lineRule="auto"/>
      </w:pPr>
      <w:r>
        <w:rPr>
          <w:rFonts w:ascii="Times New Roman" w:hAnsi="Times New Roman"/>
          <w:b w:val="0"/>
          <w:i w:val="0"/>
          <w:sz w:val="22"/>
        </w:rPr>
        <w:t>All experiments were conducted on a single NVIDIA RTX 4060 Laptop GPU (8 GB VRAM) with PyTorch 2.7.0 / CUDA 12.8 under Windows 11. Random seeds: training seed 42; held-out checkpoint scanning seed_start 2000; final evaluation seed_start 1000. Total compute budget for the submission ran 1.5M environment steps in 4h 23m wall-clock with `AsyncVectorEnv(n_envs=8)`.</w:t>
      </w:r>
    </w:p>
    <w:p>
      <w:pPr>
        <w:spacing w:before="0" w:after="40" w:line="276" w:lineRule="auto"/>
      </w:pPr>
      <w:r>
        <w:rPr>
          <w:rFonts w:ascii="Times New Roman" w:hAnsi="Times New Roman"/>
          <w:b w:val="0"/>
          <w:i w:val="0"/>
          <w:sz w:val="22"/>
        </w:rPr>
        <w:t>The exact command used to produce the submitted model:</w:t>
      </w:r>
    </w:p>
    <w:p>
      <w:pPr>
        <w:spacing w:line="276" w:lineRule="auto" w:after="160"/>
      </w:pPr>
      <w:r>
        <w:rPr>
          <w:rFonts w:ascii="Consolas" w:hAnsi="Consolas"/>
          <w:sz w:val="18"/>
        </w:rPr>
        <w:t>python train_vec.py --n-envs 8 --n-steps 256 \</w:t>
        <w:br/>
        <w:t xml:space="preserve">  --total-steps 1500000 --run-name vec_main_v3 \</w:t>
        <w:br/>
        <w:t xml:space="preserve">  --batch-size 64 --n-epochs 10 --gamma 0.99 \</w:t>
        <w:br/>
        <w:t xml:space="preserve">  --anneal-lr --anneal-ent --ent-floor 0.005 \</w:t>
        <w:br/>
        <w:t xml:space="preserve">  --reward-clip 1.0</w:t>
      </w:r>
    </w:p>
    <w:p>
      <w:pPr>
        <w:spacing w:before="0" w:after="120" w:line="276" w:lineRule="auto"/>
      </w:pPr>
      <w:r>
        <w:rPr>
          <w:rFonts w:ascii="Times New Roman" w:hAnsi="Times New Roman"/>
          <w:b w:val="0"/>
          <w:i w:val="0"/>
          <w:sz w:val="22"/>
        </w:rPr>
        <w:t>All source code and the trained model checkpoint are bundled in the accompanying zip archive. The Stable-Baselines3 baseline (Section 4.3) is reproduced via `train_sb3_baseline.py` with `--total-steps 500000`. The detailed step-by-step development log is provided in `docs/development_log.md`.</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